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8450" w14:textId="77777777" w:rsidR="00840506" w:rsidRDefault="002B42F4" w:rsidP="00547E28">
      <w:pPr>
        <w:pStyle w:val="CommentText"/>
        <w:ind w:right="43"/>
        <w:rPr>
          <w:noProof/>
          <w:szCs w:val="24"/>
          <w:lang w:val="en-US"/>
        </w:rPr>
      </w:pPr>
      <w:r>
        <w:rPr>
          <w:noProof/>
          <w:szCs w:val="24"/>
          <w:lang w:eastAsia="en-GB"/>
        </w:rPr>
        <mc:AlternateContent>
          <mc:Choice Requires="wps">
            <w:drawing>
              <wp:anchor distT="0" distB="0" distL="114300" distR="114300" simplePos="0" relativeHeight="251657728" behindDoc="0" locked="0" layoutInCell="1" allowOverlap="1" wp14:anchorId="0C4179FF" wp14:editId="46F1F152">
                <wp:simplePos x="0" y="0"/>
                <wp:positionH relativeFrom="column">
                  <wp:posOffset>5029200</wp:posOffset>
                </wp:positionH>
                <wp:positionV relativeFrom="paragraph">
                  <wp:posOffset>-683895</wp:posOffset>
                </wp:positionV>
                <wp:extent cx="1143000" cy="1485900"/>
                <wp:effectExtent l="0" t="190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823B3" w14:textId="77777777" w:rsidR="00840506" w:rsidRDefault="002B42F4">
                            <w:r>
                              <w:rPr>
                                <w:noProof/>
                                <w:lang w:eastAsia="en-GB"/>
                              </w:rPr>
                              <w:drawing>
                                <wp:inline distT="0" distB="0" distL="0" distR="0" wp14:anchorId="4F145786" wp14:editId="5A6E8027">
                                  <wp:extent cx="935355" cy="1254760"/>
                                  <wp:effectExtent l="0" t="0" r="0" b="254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254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179FF" id="_x0000_t202" coordsize="21600,21600" o:spt="202" path="m,l,21600r21600,l21600,xe">
                <v:stroke joinstyle="miter"/>
                <v:path gradientshapeok="t" o:connecttype="rect"/>
              </v:shapetype>
              <v:shape id="Text Box 13" o:spid="_x0000_s1026" type="#_x0000_t202" style="position:absolute;margin-left:396pt;margin-top:-53.85pt;width:90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" stroked="f">
                <v:textbox>
                  <w:txbxContent>
                    <w:p w14:paraId="26F823B3" w14:textId="77777777" w:rsidR="00840506" w:rsidRDefault="002B42F4">
                      <w:r>
                        <w:rPr>
                          <w:noProof/>
                          <w:lang w:eastAsia="en-GB"/>
                        </w:rPr>
                        <w:drawing>
                          <wp:inline distT="0" distB="0" distL="0" distR="0" wp14:anchorId="4F145786" wp14:editId="5A6E8027">
                            <wp:extent cx="935355" cy="1254760"/>
                            <wp:effectExtent l="0" t="0" r="0" b="254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254760"/>
                                    </a:xfrm>
                                    <a:prstGeom prst="rect">
                                      <a:avLst/>
                                    </a:prstGeom>
                                    <a:noFill/>
                                    <a:ln>
                                      <a:noFill/>
                                    </a:ln>
                                  </pic:spPr>
                                </pic:pic>
                              </a:graphicData>
                            </a:graphic>
                          </wp:inline>
                        </w:drawing>
                      </w:r>
                    </w:p>
                  </w:txbxContent>
                </v:textbox>
              </v:shape>
            </w:pict>
          </mc:Fallback>
        </mc:AlternateContent>
      </w:r>
    </w:p>
    <w:p w14:paraId="71199E8B" w14:textId="77777777" w:rsidR="00840506" w:rsidRDefault="00840506" w:rsidP="00547E28">
      <w:pPr>
        <w:ind w:right="43"/>
        <w:jc w:val="right"/>
        <w:rPr>
          <w:b/>
          <w:bCs/>
        </w:rPr>
      </w:pPr>
    </w:p>
    <w:p w14:paraId="7EE41E26" w14:textId="77777777" w:rsidR="00840506" w:rsidRDefault="00840506" w:rsidP="00547E28">
      <w:pPr>
        <w:ind w:right="43"/>
        <w:jc w:val="right"/>
      </w:pPr>
    </w:p>
    <w:p w14:paraId="10658820" w14:textId="77777777" w:rsidR="00840506" w:rsidRDefault="00840506" w:rsidP="00547E28">
      <w:pPr>
        <w:tabs>
          <w:tab w:val="left" w:pos="2160"/>
        </w:tabs>
        <w:ind w:right="43"/>
        <w:rPr>
          <w:b/>
          <w:bCs/>
        </w:rPr>
      </w:pPr>
    </w:p>
    <w:p w14:paraId="2223F1E4" w14:textId="77777777" w:rsidR="00840506" w:rsidRDefault="00840506" w:rsidP="00547E28">
      <w:pPr>
        <w:tabs>
          <w:tab w:val="left" w:pos="2160"/>
        </w:tabs>
        <w:ind w:right="43"/>
        <w:rPr>
          <w:b/>
          <w:bCs/>
        </w:rPr>
      </w:pPr>
      <w:r>
        <w:rPr>
          <w:b/>
          <w:bCs/>
        </w:rPr>
        <w:t>To:</w:t>
      </w:r>
      <w:r>
        <w:rPr>
          <w:b/>
          <w:bCs/>
        </w:rPr>
        <w:tab/>
      </w:r>
      <w:r w:rsidR="00547E28">
        <w:rPr>
          <w:b/>
          <w:bCs/>
        </w:rPr>
        <w:t>Audit and Governance Committee</w:t>
      </w:r>
    </w:p>
    <w:p w14:paraId="58038F7E" w14:textId="77777777" w:rsidR="00840506" w:rsidRDefault="00840506" w:rsidP="00547E28">
      <w:pPr>
        <w:ind w:right="43"/>
        <w:rPr>
          <w:b/>
          <w:bCs/>
        </w:rPr>
      </w:pPr>
    </w:p>
    <w:p w14:paraId="1BA4C28C" w14:textId="00D42751" w:rsidR="00840506" w:rsidRDefault="00547E28" w:rsidP="00547E28">
      <w:pPr>
        <w:tabs>
          <w:tab w:val="left" w:pos="2160"/>
          <w:tab w:val="left" w:pos="6300"/>
          <w:tab w:val="left" w:pos="7380"/>
        </w:tabs>
        <w:ind w:right="43"/>
        <w:rPr>
          <w:b/>
          <w:bCs/>
        </w:rPr>
      </w:pPr>
      <w:r>
        <w:rPr>
          <w:b/>
          <w:bCs/>
        </w:rPr>
        <w:t>Date:</w:t>
      </w:r>
      <w:r>
        <w:rPr>
          <w:b/>
          <w:bCs/>
        </w:rPr>
        <w:tab/>
      </w:r>
      <w:r w:rsidR="008917FE">
        <w:rPr>
          <w:b/>
          <w:bCs/>
        </w:rPr>
        <w:t>20</w:t>
      </w:r>
      <w:r w:rsidR="00A21974" w:rsidRPr="00A21974">
        <w:rPr>
          <w:b/>
          <w:bCs/>
          <w:vertAlign w:val="superscript"/>
        </w:rPr>
        <w:t>th</w:t>
      </w:r>
      <w:r w:rsidR="00A21974">
        <w:rPr>
          <w:b/>
          <w:bCs/>
        </w:rPr>
        <w:t xml:space="preserve"> </w:t>
      </w:r>
      <w:r w:rsidR="008917FE">
        <w:rPr>
          <w:b/>
          <w:bCs/>
        </w:rPr>
        <w:t>January 2025</w:t>
      </w:r>
      <w:r w:rsidR="00840506">
        <w:rPr>
          <w:b/>
          <w:bCs/>
        </w:rPr>
        <w:tab/>
        <w:t xml:space="preserve">Item No:   </w:t>
      </w:r>
      <w:r w:rsidR="00840506">
        <w:rPr>
          <w:b/>
          <w:bCs/>
        </w:rPr>
        <w:tab/>
      </w:r>
    </w:p>
    <w:p w14:paraId="1AC82C4F" w14:textId="77777777" w:rsidR="00840506" w:rsidRDefault="00840506" w:rsidP="00547E28">
      <w:pPr>
        <w:ind w:right="43"/>
        <w:jc w:val="right"/>
        <w:rPr>
          <w:b/>
          <w:bCs/>
        </w:rPr>
      </w:pPr>
    </w:p>
    <w:p w14:paraId="0C589610" w14:textId="77777777" w:rsidR="00840506" w:rsidRDefault="00840506" w:rsidP="00547E28">
      <w:pPr>
        <w:tabs>
          <w:tab w:val="left" w:pos="2127"/>
        </w:tabs>
        <w:ind w:right="43"/>
        <w:rPr>
          <w:b/>
          <w:bCs/>
        </w:rPr>
      </w:pPr>
      <w:r>
        <w:rPr>
          <w:b/>
          <w:bCs/>
        </w:rPr>
        <w:t>Report of:</w:t>
      </w:r>
      <w:r>
        <w:rPr>
          <w:b/>
          <w:bCs/>
        </w:rPr>
        <w:tab/>
      </w:r>
      <w:r w:rsidR="00E23D50">
        <w:rPr>
          <w:b/>
          <w:bCs/>
        </w:rPr>
        <w:t>Head of Financial Services</w:t>
      </w:r>
    </w:p>
    <w:p w14:paraId="3D81A29A" w14:textId="77777777" w:rsidR="00840506" w:rsidRDefault="00840506" w:rsidP="00547E28">
      <w:pPr>
        <w:tabs>
          <w:tab w:val="left" w:pos="2160"/>
        </w:tabs>
        <w:ind w:right="43"/>
        <w:rPr>
          <w:b/>
          <w:bCs/>
        </w:rPr>
      </w:pPr>
    </w:p>
    <w:p w14:paraId="3147D007" w14:textId="48C3B65D" w:rsidR="00840506" w:rsidRDefault="00840506" w:rsidP="00547E28">
      <w:pPr>
        <w:tabs>
          <w:tab w:val="left" w:pos="2160"/>
        </w:tabs>
        <w:ind w:left="2127" w:right="43" w:hanging="2127"/>
        <w:rPr>
          <w:b/>
          <w:bCs/>
        </w:rPr>
      </w:pPr>
      <w:r>
        <w:rPr>
          <w:b/>
          <w:bCs/>
        </w:rPr>
        <w:t xml:space="preserve">Title of Report: </w:t>
      </w:r>
      <w:r>
        <w:rPr>
          <w:b/>
          <w:bCs/>
        </w:rPr>
        <w:tab/>
      </w:r>
      <w:r w:rsidR="00547E28">
        <w:rPr>
          <w:b/>
          <w:bCs/>
        </w:rPr>
        <w:t xml:space="preserve">Statement of Accounts for the Year Ending </w:t>
      </w:r>
      <w:r w:rsidR="00784E1C">
        <w:rPr>
          <w:b/>
          <w:bCs/>
        </w:rPr>
        <w:t>31</w:t>
      </w:r>
      <w:r w:rsidR="00784E1C" w:rsidRPr="00784E1C">
        <w:rPr>
          <w:b/>
          <w:bCs/>
          <w:vertAlign w:val="superscript"/>
        </w:rPr>
        <w:t>st</w:t>
      </w:r>
      <w:r w:rsidR="00784E1C">
        <w:rPr>
          <w:b/>
          <w:bCs/>
        </w:rPr>
        <w:t xml:space="preserve"> March 202</w:t>
      </w:r>
      <w:r w:rsidR="008917FE">
        <w:rPr>
          <w:b/>
          <w:bCs/>
        </w:rPr>
        <w:t>4</w:t>
      </w:r>
      <w:r w:rsidR="00784E1C">
        <w:rPr>
          <w:b/>
          <w:bCs/>
        </w:rPr>
        <w:t>.</w:t>
      </w:r>
    </w:p>
    <w:p w14:paraId="2B046D78" w14:textId="77777777" w:rsidR="00840506" w:rsidRDefault="00840506" w:rsidP="00547E28">
      <w:pPr>
        <w:ind w:right="43"/>
        <w:jc w:val="center"/>
        <w:rPr>
          <w:b/>
          <w:bCs/>
        </w:rPr>
      </w:pPr>
    </w:p>
    <w:p w14:paraId="63E84EA9" w14:textId="77777777" w:rsidR="00840506" w:rsidRDefault="00840506" w:rsidP="00547E28">
      <w:pPr>
        <w:pStyle w:val="Heading1"/>
        <w:pBdr>
          <w:top w:val="single" w:sz="4" w:space="1" w:color="auto"/>
          <w:left w:val="single" w:sz="4" w:space="4" w:color="auto"/>
          <w:bottom w:val="single" w:sz="4" w:space="1" w:color="auto"/>
          <w:right w:val="single" w:sz="4" w:space="4" w:color="auto"/>
        </w:pBdr>
        <w:ind w:right="43"/>
        <w:jc w:val="center"/>
        <w:rPr>
          <w:u w:val="single"/>
        </w:rPr>
      </w:pPr>
    </w:p>
    <w:p w14:paraId="621EA0D4" w14:textId="77777777" w:rsidR="00840506" w:rsidRDefault="00840506" w:rsidP="00547E28">
      <w:pPr>
        <w:pStyle w:val="Heading1"/>
        <w:pBdr>
          <w:top w:val="single" w:sz="4" w:space="1" w:color="auto"/>
          <w:left w:val="single" w:sz="4" w:space="4" w:color="auto"/>
          <w:bottom w:val="single" w:sz="4" w:space="1" w:color="auto"/>
          <w:right w:val="single" w:sz="4" w:space="4" w:color="auto"/>
        </w:pBdr>
        <w:ind w:right="43"/>
        <w:jc w:val="center"/>
        <w:rPr>
          <w:u w:val="single"/>
        </w:rPr>
      </w:pPr>
      <w:r>
        <w:rPr>
          <w:u w:val="single"/>
        </w:rPr>
        <w:t>Summary and Recommendations</w:t>
      </w:r>
    </w:p>
    <w:p w14:paraId="4C0CD362" w14:textId="77777777" w:rsidR="00840506" w:rsidRDefault="00840506" w:rsidP="00547E28">
      <w:pPr>
        <w:pBdr>
          <w:top w:val="single" w:sz="4" w:space="1" w:color="auto"/>
          <w:left w:val="single" w:sz="4" w:space="4" w:color="auto"/>
          <w:bottom w:val="single" w:sz="4" w:space="1" w:color="auto"/>
          <w:right w:val="single" w:sz="4" w:space="4" w:color="auto"/>
        </w:pBdr>
        <w:ind w:right="43"/>
      </w:pPr>
    </w:p>
    <w:p w14:paraId="231645CC" w14:textId="77777777" w:rsidR="00840506" w:rsidRDefault="00840506" w:rsidP="00547E28">
      <w:pPr>
        <w:pBdr>
          <w:top w:val="single" w:sz="4" w:space="1" w:color="auto"/>
          <w:left w:val="single" w:sz="4" w:space="4" w:color="auto"/>
          <w:bottom w:val="single" w:sz="4" w:space="1" w:color="auto"/>
          <w:right w:val="single" w:sz="4" w:space="4" w:color="auto"/>
        </w:pBdr>
        <w:ind w:right="43"/>
      </w:pPr>
    </w:p>
    <w:p w14:paraId="28806BDE" w14:textId="56DA7581" w:rsidR="00E60879" w:rsidRDefault="00840506" w:rsidP="00E60879">
      <w:pPr>
        <w:pBdr>
          <w:top w:val="single" w:sz="4" w:space="1" w:color="auto"/>
          <w:left w:val="single" w:sz="4" w:space="4" w:color="auto"/>
          <w:bottom w:val="single" w:sz="4" w:space="1" w:color="auto"/>
          <w:right w:val="single" w:sz="4" w:space="4" w:color="auto"/>
        </w:pBdr>
        <w:ind w:left="2835" w:right="43" w:hanging="2835"/>
      </w:pPr>
      <w:r>
        <w:rPr>
          <w:b/>
          <w:bCs/>
        </w:rPr>
        <w:t>Purpose of report</w:t>
      </w:r>
      <w:r>
        <w:t xml:space="preserve">:  </w:t>
      </w:r>
      <w:r>
        <w:tab/>
      </w:r>
      <w:r w:rsidR="005C2AE5" w:rsidRPr="005C2AE5">
        <w:t>To submit the Council’s Statement of Accounts and Letter of Representation</w:t>
      </w:r>
      <w:r w:rsidR="00784E1C">
        <w:t>s</w:t>
      </w:r>
      <w:r w:rsidR="005C2AE5" w:rsidRPr="005C2AE5">
        <w:t xml:space="preserve"> for approval and authorisation.</w:t>
      </w:r>
    </w:p>
    <w:p w14:paraId="61B6E56F" w14:textId="77777777" w:rsidR="00840506" w:rsidRDefault="00840506" w:rsidP="00E60879">
      <w:pPr>
        <w:pBdr>
          <w:top w:val="single" w:sz="4" w:space="1" w:color="auto"/>
          <w:left w:val="single" w:sz="4" w:space="4" w:color="auto"/>
          <w:bottom w:val="single" w:sz="4" w:space="1" w:color="auto"/>
          <w:right w:val="single" w:sz="4" w:space="4" w:color="auto"/>
        </w:pBdr>
        <w:ind w:left="2835" w:right="43" w:hanging="2835"/>
      </w:pPr>
    </w:p>
    <w:p w14:paraId="408CBF99" w14:textId="77777777" w:rsidR="00840506" w:rsidRDefault="00E60879" w:rsidP="00547E28">
      <w:pPr>
        <w:pBdr>
          <w:top w:val="single" w:sz="4" w:space="1" w:color="auto"/>
          <w:left w:val="single" w:sz="4" w:space="4" w:color="auto"/>
          <w:bottom w:val="single" w:sz="4" w:space="1" w:color="auto"/>
          <w:right w:val="single" w:sz="4" w:space="4" w:color="auto"/>
        </w:pBdr>
        <w:ind w:right="43"/>
        <w:rPr>
          <w:b/>
          <w:bCs/>
        </w:rPr>
      </w:pPr>
      <w:r>
        <w:rPr>
          <w:b/>
          <w:bCs/>
        </w:rPr>
        <w:t>Key Decision</w:t>
      </w:r>
      <w:r w:rsidR="00547E28">
        <w:rPr>
          <w:b/>
          <w:bCs/>
        </w:rPr>
        <w:tab/>
      </w:r>
      <w:r>
        <w:rPr>
          <w:b/>
          <w:bCs/>
        </w:rPr>
        <w:tab/>
        <w:t>No</w:t>
      </w:r>
    </w:p>
    <w:p w14:paraId="729F161D" w14:textId="77777777" w:rsidR="00E60879" w:rsidRDefault="00E60879" w:rsidP="00547E28">
      <w:pPr>
        <w:pBdr>
          <w:top w:val="single" w:sz="4" w:space="1" w:color="auto"/>
          <w:left w:val="single" w:sz="4" w:space="4" w:color="auto"/>
          <w:bottom w:val="single" w:sz="4" w:space="1" w:color="auto"/>
          <w:right w:val="single" w:sz="4" w:space="4" w:color="auto"/>
        </w:pBdr>
        <w:ind w:right="43"/>
        <w:rPr>
          <w:b/>
          <w:bCs/>
        </w:rPr>
      </w:pPr>
    </w:p>
    <w:p w14:paraId="5C2045F4" w14:textId="77777777" w:rsidR="00E60879" w:rsidRDefault="00A21974" w:rsidP="00547E28">
      <w:pPr>
        <w:pBdr>
          <w:top w:val="single" w:sz="4" w:space="1" w:color="auto"/>
          <w:left w:val="single" w:sz="4" w:space="4" w:color="auto"/>
          <w:bottom w:val="single" w:sz="4" w:space="1" w:color="auto"/>
          <w:right w:val="single" w:sz="4" w:space="4" w:color="auto"/>
        </w:pBdr>
        <w:ind w:right="43"/>
        <w:rPr>
          <w:b/>
          <w:bCs/>
        </w:rPr>
      </w:pPr>
      <w:r>
        <w:rPr>
          <w:b/>
          <w:bCs/>
        </w:rPr>
        <w:t>Cabinet</w:t>
      </w:r>
      <w:r w:rsidR="00E60879">
        <w:rPr>
          <w:b/>
          <w:bCs/>
        </w:rPr>
        <w:t xml:space="preserve"> lead member</w:t>
      </w:r>
      <w:r w:rsidR="00E60879">
        <w:rPr>
          <w:b/>
          <w:bCs/>
        </w:rPr>
        <w:tab/>
        <w:t>Councillor Ed Turner</w:t>
      </w:r>
    </w:p>
    <w:p w14:paraId="5D287F60" w14:textId="77777777" w:rsidR="00840506" w:rsidRDefault="00840506" w:rsidP="00547E28">
      <w:pPr>
        <w:pBdr>
          <w:top w:val="single" w:sz="4" w:space="1" w:color="auto"/>
          <w:left w:val="single" w:sz="4" w:space="4" w:color="auto"/>
          <w:bottom w:val="single" w:sz="4" w:space="1" w:color="auto"/>
          <w:right w:val="single" w:sz="4" w:space="4" w:color="auto"/>
        </w:pBdr>
        <w:ind w:right="43"/>
        <w:rPr>
          <w:b/>
          <w:bCs/>
        </w:rPr>
      </w:pPr>
    </w:p>
    <w:p w14:paraId="75AB68A1" w14:textId="580807A1" w:rsidR="00840506" w:rsidRDefault="00E60879" w:rsidP="00547E28">
      <w:pPr>
        <w:pBdr>
          <w:top w:val="single" w:sz="4" w:space="1" w:color="auto"/>
          <w:left w:val="single" w:sz="4" w:space="4" w:color="auto"/>
          <w:bottom w:val="single" w:sz="4" w:space="1" w:color="auto"/>
          <w:right w:val="single" w:sz="4" w:space="4" w:color="auto"/>
        </w:pBdr>
        <w:ind w:right="43"/>
        <w:rPr>
          <w:b/>
          <w:bCs/>
        </w:rPr>
      </w:pPr>
      <w:r>
        <w:rPr>
          <w:b/>
          <w:bCs/>
        </w:rPr>
        <w:t>Policy Framework:</w:t>
      </w:r>
      <w:r>
        <w:rPr>
          <w:b/>
          <w:bCs/>
        </w:rPr>
        <w:tab/>
      </w:r>
      <w:r>
        <w:rPr>
          <w:b/>
          <w:bCs/>
        </w:rPr>
        <w:tab/>
      </w:r>
      <w:r w:rsidR="00D2029B">
        <w:rPr>
          <w:b/>
          <w:bCs/>
        </w:rPr>
        <w:t xml:space="preserve">A </w:t>
      </w:r>
      <w:proofErr w:type="gramStart"/>
      <w:r w:rsidR="00D2029B">
        <w:rPr>
          <w:b/>
          <w:bCs/>
        </w:rPr>
        <w:t>well run</w:t>
      </w:r>
      <w:proofErr w:type="gramEnd"/>
      <w:r w:rsidR="00D2029B">
        <w:rPr>
          <w:b/>
          <w:bCs/>
        </w:rPr>
        <w:t xml:space="preserve"> council</w:t>
      </w:r>
    </w:p>
    <w:p w14:paraId="4BD9D1C3" w14:textId="77777777" w:rsidR="00840506" w:rsidRDefault="00840506" w:rsidP="00547E28">
      <w:pPr>
        <w:pStyle w:val="Heading1"/>
        <w:pBdr>
          <w:top w:val="single" w:sz="4" w:space="1" w:color="auto"/>
          <w:left w:val="single" w:sz="4" w:space="4" w:color="auto"/>
          <w:bottom w:val="single" w:sz="4" w:space="1" w:color="auto"/>
          <w:right w:val="single" w:sz="4" w:space="4" w:color="auto"/>
        </w:pBdr>
        <w:ind w:right="43"/>
      </w:pPr>
    </w:p>
    <w:p w14:paraId="7E51079E" w14:textId="77777777" w:rsidR="005C2AE5" w:rsidRDefault="00840506" w:rsidP="00E60879">
      <w:pPr>
        <w:pBdr>
          <w:top w:val="single" w:sz="4" w:space="1" w:color="auto"/>
          <w:left w:val="single" w:sz="4" w:space="4" w:color="auto"/>
          <w:bottom w:val="single" w:sz="4" w:space="1" w:color="auto"/>
          <w:right w:val="single" w:sz="4" w:space="4" w:color="auto"/>
        </w:pBdr>
        <w:tabs>
          <w:tab w:val="left" w:pos="2835"/>
        </w:tabs>
        <w:ind w:left="2835" w:right="43" w:hanging="2835"/>
        <w:rPr>
          <w:b/>
        </w:rPr>
      </w:pPr>
      <w:r>
        <w:rPr>
          <w:b/>
        </w:rPr>
        <w:t xml:space="preserve">Recommendation(s): </w:t>
      </w:r>
      <w:r>
        <w:rPr>
          <w:b/>
        </w:rPr>
        <w:tab/>
      </w:r>
      <w:r w:rsidR="00E60879">
        <w:rPr>
          <w:b/>
        </w:rPr>
        <w:t>That the Committee</w:t>
      </w:r>
      <w:r w:rsidR="005C2AE5">
        <w:rPr>
          <w:b/>
        </w:rPr>
        <w:t>:</w:t>
      </w:r>
    </w:p>
    <w:p w14:paraId="059E3A2E" w14:textId="77777777" w:rsidR="005C2AE5" w:rsidRDefault="005C2AE5" w:rsidP="00E60879">
      <w:pPr>
        <w:pBdr>
          <w:top w:val="single" w:sz="4" w:space="1" w:color="auto"/>
          <w:left w:val="single" w:sz="4" w:space="4" w:color="auto"/>
          <w:bottom w:val="single" w:sz="4" w:space="1" w:color="auto"/>
          <w:right w:val="single" w:sz="4" w:space="4" w:color="auto"/>
        </w:pBdr>
        <w:tabs>
          <w:tab w:val="left" w:pos="2835"/>
        </w:tabs>
        <w:ind w:left="2835" w:right="43" w:hanging="2835"/>
        <w:rPr>
          <w:b/>
        </w:rPr>
      </w:pPr>
    </w:p>
    <w:p w14:paraId="7933D989" w14:textId="1AA1EA94" w:rsidR="008917FE" w:rsidRDefault="00FE7E6A" w:rsidP="002D3151">
      <w:pPr>
        <w:pBdr>
          <w:top w:val="single" w:sz="4" w:space="1" w:color="auto"/>
          <w:left w:val="single" w:sz="4" w:space="4" w:color="auto"/>
          <w:bottom w:val="single" w:sz="4" w:space="1" w:color="auto"/>
          <w:right w:val="single" w:sz="4" w:space="4" w:color="auto"/>
        </w:pBdr>
        <w:tabs>
          <w:tab w:val="left" w:pos="851"/>
        </w:tabs>
        <w:ind w:left="851" w:right="43" w:hanging="851"/>
        <w:rPr>
          <w:b/>
        </w:rPr>
      </w:pPr>
      <w:r>
        <w:rPr>
          <w:b/>
        </w:rPr>
        <w:t>a</w:t>
      </w:r>
      <w:r w:rsidR="00784E1C">
        <w:rPr>
          <w:b/>
        </w:rPr>
        <w:t>)</w:t>
      </w:r>
      <w:r w:rsidR="00784E1C">
        <w:rPr>
          <w:b/>
        </w:rPr>
        <w:tab/>
      </w:r>
      <w:r w:rsidR="008917FE">
        <w:rPr>
          <w:b/>
        </w:rPr>
        <w:t>Note the report and the potential audit trajectory</w:t>
      </w:r>
    </w:p>
    <w:p w14:paraId="062C4CDE" w14:textId="47C6C589" w:rsidR="00784E1C" w:rsidRDefault="00FE7E6A" w:rsidP="002D3151">
      <w:pPr>
        <w:pBdr>
          <w:top w:val="single" w:sz="4" w:space="1" w:color="auto"/>
          <w:left w:val="single" w:sz="4" w:space="4" w:color="auto"/>
          <w:bottom w:val="single" w:sz="4" w:space="1" w:color="auto"/>
          <w:right w:val="single" w:sz="4" w:space="4" w:color="auto"/>
        </w:pBdr>
        <w:tabs>
          <w:tab w:val="left" w:pos="851"/>
        </w:tabs>
        <w:ind w:left="851" w:right="43" w:hanging="851"/>
        <w:rPr>
          <w:b/>
        </w:rPr>
      </w:pPr>
      <w:r>
        <w:rPr>
          <w:b/>
        </w:rPr>
        <w:t>b</w:t>
      </w:r>
      <w:r w:rsidR="00784E1C">
        <w:rPr>
          <w:b/>
        </w:rPr>
        <w:t>)</w:t>
      </w:r>
      <w:r w:rsidR="00784E1C">
        <w:rPr>
          <w:b/>
        </w:rPr>
        <w:tab/>
      </w:r>
      <w:r w:rsidR="00784E1C" w:rsidRPr="00784E1C">
        <w:rPr>
          <w:b/>
        </w:rPr>
        <w:t>Approve the 202</w:t>
      </w:r>
      <w:r w:rsidR="008917FE">
        <w:rPr>
          <w:b/>
        </w:rPr>
        <w:t>3</w:t>
      </w:r>
      <w:r w:rsidR="00784E1C" w:rsidRPr="00784E1C">
        <w:rPr>
          <w:b/>
        </w:rPr>
        <w:t>/2</w:t>
      </w:r>
      <w:r w:rsidR="008917FE">
        <w:rPr>
          <w:b/>
        </w:rPr>
        <w:t>4</w:t>
      </w:r>
      <w:r w:rsidR="00784E1C" w:rsidRPr="00784E1C">
        <w:rPr>
          <w:b/>
        </w:rPr>
        <w:t xml:space="preserve"> Statement of Accounts as agreed by the Head of Financial Services and authorise the Chair of the Committee to sign the Accounts incorporating any </w:t>
      </w:r>
      <w:r w:rsidR="008917FE">
        <w:rPr>
          <w:b/>
        </w:rPr>
        <w:t>further changes arising from the ongoing audit</w:t>
      </w:r>
    </w:p>
    <w:p w14:paraId="1D4F7586" w14:textId="2C00DC24" w:rsidR="00784E1C" w:rsidRDefault="00FE7E6A" w:rsidP="002D3151">
      <w:pPr>
        <w:pBdr>
          <w:top w:val="single" w:sz="4" w:space="1" w:color="auto"/>
          <w:left w:val="single" w:sz="4" w:space="4" w:color="auto"/>
          <w:bottom w:val="single" w:sz="4" w:space="1" w:color="auto"/>
          <w:right w:val="single" w:sz="4" w:space="4" w:color="auto"/>
        </w:pBdr>
        <w:tabs>
          <w:tab w:val="left" w:pos="851"/>
        </w:tabs>
        <w:ind w:left="851" w:right="43" w:hanging="851"/>
        <w:rPr>
          <w:b/>
        </w:rPr>
      </w:pPr>
      <w:r>
        <w:rPr>
          <w:b/>
        </w:rPr>
        <w:t>c</w:t>
      </w:r>
      <w:r w:rsidR="005C2AE5" w:rsidRPr="00E97434">
        <w:rPr>
          <w:b/>
        </w:rPr>
        <w:t>)</w:t>
      </w:r>
      <w:r w:rsidR="005C2AE5" w:rsidRPr="00E97434">
        <w:rPr>
          <w:b/>
        </w:rPr>
        <w:tab/>
      </w:r>
      <w:r w:rsidR="00D36133">
        <w:rPr>
          <w:b/>
        </w:rPr>
        <w:t xml:space="preserve">Agree to the signing of a </w:t>
      </w:r>
      <w:r w:rsidR="00E97434" w:rsidRPr="00E97434">
        <w:rPr>
          <w:b/>
        </w:rPr>
        <w:t>Letter of Representation</w:t>
      </w:r>
      <w:r w:rsidR="00784E1C">
        <w:rPr>
          <w:b/>
        </w:rPr>
        <w:t>s</w:t>
      </w:r>
      <w:r w:rsidR="00E97434" w:rsidRPr="00E97434">
        <w:rPr>
          <w:b/>
        </w:rPr>
        <w:t xml:space="preserve"> </w:t>
      </w:r>
      <w:r w:rsidR="00784E1C">
        <w:rPr>
          <w:b/>
        </w:rPr>
        <w:t>for 202</w:t>
      </w:r>
      <w:r w:rsidR="008917FE">
        <w:rPr>
          <w:b/>
        </w:rPr>
        <w:t>3</w:t>
      </w:r>
      <w:r w:rsidR="00784E1C">
        <w:rPr>
          <w:b/>
        </w:rPr>
        <w:t>/2</w:t>
      </w:r>
      <w:r w:rsidR="008917FE">
        <w:rPr>
          <w:b/>
        </w:rPr>
        <w:t>4</w:t>
      </w:r>
      <w:r w:rsidR="00784E1C">
        <w:rPr>
          <w:b/>
        </w:rPr>
        <w:t xml:space="preserve"> </w:t>
      </w:r>
      <w:r w:rsidR="008917FE" w:rsidRPr="008917FE">
        <w:rPr>
          <w:b/>
        </w:rPr>
        <w:t xml:space="preserve">incorporating any </w:t>
      </w:r>
      <w:r w:rsidR="00D36133">
        <w:rPr>
          <w:b/>
        </w:rPr>
        <w:t>statements required by the external auditor arising</w:t>
      </w:r>
      <w:r w:rsidR="008917FE" w:rsidRPr="008917FE">
        <w:rPr>
          <w:b/>
        </w:rPr>
        <w:t xml:space="preserve"> from the ongoing audit </w:t>
      </w:r>
      <w:r w:rsidR="005C2AE5" w:rsidRPr="00E97434">
        <w:rPr>
          <w:b/>
        </w:rPr>
        <w:t xml:space="preserve">to enable </w:t>
      </w:r>
      <w:r w:rsidR="00E97434" w:rsidRPr="00E97434">
        <w:rPr>
          <w:b/>
        </w:rPr>
        <w:t xml:space="preserve">it to be signed and dated on date of signing and to enable </w:t>
      </w:r>
      <w:r w:rsidR="005C2AE5" w:rsidRPr="00E97434">
        <w:rPr>
          <w:b/>
        </w:rPr>
        <w:t xml:space="preserve">the opinion to be </w:t>
      </w:r>
      <w:r w:rsidR="005C2AE5" w:rsidRPr="00F06C72">
        <w:rPr>
          <w:b/>
        </w:rPr>
        <w:t>issued</w:t>
      </w:r>
      <w:r w:rsidR="004F47DE" w:rsidRPr="00F06C72">
        <w:rPr>
          <w:b/>
        </w:rPr>
        <w:t xml:space="preserve"> </w:t>
      </w:r>
      <w:r w:rsidR="004F47DE" w:rsidRPr="00FE7E6A">
        <w:rPr>
          <w:b/>
        </w:rPr>
        <w:t xml:space="preserve">(paragraph </w:t>
      </w:r>
      <w:r w:rsidR="00F06C72" w:rsidRPr="00FE7E6A">
        <w:rPr>
          <w:b/>
        </w:rPr>
        <w:t>1</w:t>
      </w:r>
      <w:r w:rsidRPr="00FE7E6A">
        <w:rPr>
          <w:b/>
        </w:rPr>
        <w:t>0</w:t>
      </w:r>
      <w:r w:rsidR="004F47DE" w:rsidRPr="00FE7E6A">
        <w:rPr>
          <w:b/>
        </w:rPr>
        <w:t>)</w:t>
      </w:r>
      <w:r w:rsidR="00784E1C">
        <w:rPr>
          <w:b/>
        </w:rPr>
        <w:tab/>
      </w:r>
    </w:p>
    <w:p w14:paraId="32AD3ADE" w14:textId="77777777" w:rsidR="00840506" w:rsidRDefault="006A5C71" w:rsidP="002B42F4">
      <w:pPr>
        <w:pBdr>
          <w:top w:val="single" w:sz="4" w:space="1" w:color="auto"/>
          <w:left w:val="single" w:sz="4" w:space="4" w:color="auto"/>
          <w:bottom w:val="single" w:sz="4" w:space="1" w:color="auto"/>
          <w:right w:val="single" w:sz="4" w:space="4" w:color="auto"/>
        </w:pBdr>
        <w:tabs>
          <w:tab w:val="left" w:pos="2835"/>
        </w:tabs>
        <w:ind w:left="2835" w:right="43" w:hanging="2835"/>
        <w:rPr>
          <w:b/>
        </w:rPr>
      </w:pPr>
      <w:r>
        <w:rPr>
          <w:b/>
        </w:rPr>
        <w:tab/>
      </w:r>
    </w:p>
    <w:p w14:paraId="3AB8252D" w14:textId="77777777" w:rsidR="005C2AE5" w:rsidRDefault="005C2AE5" w:rsidP="00547E28">
      <w:pPr>
        <w:ind w:right="43"/>
      </w:pPr>
    </w:p>
    <w:p w14:paraId="4576F09C" w14:textId="72BE0C8D" w:rsidR="00840506" w:rsidRPr="002D3151" w:rsidRDefault="005C2AE5" w:rsidP="00547E28">
      <w:pPr>
        <w:ind w:right="43"/>
        <w:rPr>
          <w:b/>
        </w:rPr>
      </w:pPr>
      <w:r w:rsidRPr="002D3151">
        <w:rPr>
          <w:b/>
        </w:rPr>
        <w:t>Appendices</w:t>
      </w:r>
    </w:p>
    <w:p w14:paraId="7EF97286" w14:textId="7FBB2BD2" w:rsidR="00840506" w:rsidRDefault="00784E1C" w:rsidP="00547E28">
      <w:pPr>
        <w:ind w:right="43"/>
        <w:rPr>
          <w:b/>
        </w:rPr>
      </w:pPr>
      <w:r>
        <w:rPr>
          <w:b/>
        </w:rPr>
        <w:t xml:space="preserve">Appendix </w:t>
      </w:r>
      <w:r w:rsidR="008917FE">
        <w:rPr>
          <w:b/>
        </w:rPr>
        <w:t>1</w:t>
      </w:r>
      <w:r>
        <w:rPr>
          <w:b/>
        </w:rPr>
        <w:t xml:space="preserve"> – </w:t>
      </w:r>
      <w:r w:rsidR="00E60879" w:rsidRPr="00766105">
        <w:rPr>
          <w:b/>
        </w:rPr>
        <w:t>Statement of Accounts 20</w:t>
      </w:r>
      <w:r w:rsidR="00080EE4">
        <w:rPr>
          <w:b/>
        </w:rPr>
        <w:t>2</w:t>
      </w:r>
      <w:r w:rsidR="008917FE">
        <w:rPr>
          <w:b/>
        </w:rPr>
        <w:t>3</w:t>
      </w:r>
      <w:r w:rsidR="00E60879" w:rsidRPr="00766105">
        <w:rPr>
          <w:b/>
        </w:rPr>
        <w:t>/</w:t>
      </w:r>
      <w:r w:rsidR="005F006A">
        <w:rPr>
          <w:b/>
        </w:rPr>
        <w:t>2</w:t>
      </w:r>
      <w:r w:rsidR="008917FE">
        <w:rPr>
          <w:b/>
        </w:rPr>
        <w:t>4</w:t>
      </w:r>
    </w:p>
    <w:p w14:paraId="42AB876D" w14:textId="0B178F5B" w:rsidR="005C2AE5" w:rsidRPr="00766105" w:rsidRDefault="005C2AE5" w:rsidP="00547E28">
      <w:pPr>
        <w:ind w:right="43"/>
        <w:rPr>
          <w:b/>
        </w:rPr>
      </w:pPr>
      <w:r w:rsidRPr="00E97434">
        <w:rPr>
          <w:b/>
        </w:rPr>
        <w:t xml:space="preserve">Appendix </w:t>
      </w:r>
      <w:r w:rsidR="008917FE">
        <w:rPr>
          <w:b/>
        </w:rPr>
        <w:t>2</w:t>
      </w:r>
      <w:r w:rsidRPr="00E97434">
        <w:rPr>
          <w:b/>
        </w:rPr>
        <w:t xml:space="preserve"> – Letter of Representation</w:t>
      </w:r>
      <w:r w:rsidR="002B0F02">
        <w:rPr>
          <w:b/>
        </w:rPr>
        <w:t xml:space="preserve"> 202</w:t>
      </w:r>
      <w:r w:rsidR="00D36133">
        <w:rPr>
          <w:b/>
        </w:rPr>
        <w:t>2</w:t>
      </w:r>
      <w:r w:rsidR="002B0F02">
        <w:rPr>
          <w:b/>
        </w:rPr>
        <w:t>/2</w:t>
      </w:r>
      <w:r w:rsidR="00D36133">
        <w:rPr>
          <w:b/>
        </w:rPr>
        <w:t>3</w:t>
      </w:r>
      <w:r w:rsidR="00D2029B">
        <w:rPr>
          <w:b/>
        </w:rPr>
        <w:t xml:space="preserve"> example</w:t>
      </w:r>
    </w:p>
    <w:p w14:paraId="4977271B" w14:textId="77777777" w:rsidR="00E60879" w:rsidRDefault="00E60879" w:rsidP="00547E28">
      <w:pPr>
        <w:ind w:right="43"/>
      </w:pPr>
    </w:p>
    <w:p w14:paraId="7CDAB406" w14:textId="77777777" w:rsidR="00FE7E6A" w:rsidRDefault="00FE7E6A">
      <w:pPr>
        <w:rPr>
          <w:b/>
        </w:rPr>
      </w:pPr>
      <w:r>
        <w:rPr>
          <w:b/>
        </w:rPr>
        <w:br w:type="page"/>
      </w:r>
    </w:p>
    <w:p w14:paraId="7B240DB9" w14:textId="0301F32D" w:rsidR="005C2AE5" w:rsidRPr="002D3151" w:rsidRDefault="005C2AE5" w:rsidP="00547E28">
      <w:pPr>
        <w:ind w:right="43"/>
        <w:rPr>
          <w:b/>
        </w:rPr>
      </w:pPr>
      <w:r w:rsidRPr="002D3151">
        <w:rPr>
          <w:b/>
        </w:rPr>
        <w:lastRenderedPageBreak/>
        <w:t>Background</w:t>
      </w:r>
    </w:p>
    <w:p w14:paraId="312F6705" w14:textId="77777777" w:rsidR="005C2AE5" w:rsidRDefault="005C2AE5" w:rsidP="00547E28">
      <w:pPr>
        <w:ind w:right="43"/>
      </w:pPr>
    </w:p>
    <w:p w14:paraId="0F551E5A" w14:textId="493A0E32" w:rsidR="0034145C" w:rsidRDefault="0034145C" w:rsidP="00FF3D86">
      <w:pPr>
        <w:numPr>
          <w:ilvl w:val="0"/>
          <w:numId w:val="22"/>
        </w:numPr>
        <w:ind w:right="43"/>
      </w:pPr>
      <w:r>
        <w:t xml:space="preserve">The Local Authority sector nationally has had a widespread backlog in finalising audits which have, in most cases, built up over time.  Often this is because of an issue in a particular year which has then had a knock-on effect to future audits.  For some audits the backlog has built up due to a lack of capacity in a combination of the local authorities themselves </w:t>
      </w:r>
      <w:proofErr w:type="gramStart"/>
      <w:r>
        <w:t>and also</w:t>
      </w:r>
      <w:proofErr w:type="gramEnd"/>
      <w:r>
        <w:t xml:space="preserve"> the auditors operating in the market.  The deadlines for completion of draft statements of accounts and for the audit have been shortened over the years leading to limited or no contingency in the timescale.  At the same time, the requirements placed on auditors have increased and are continuing to increase with more stringent requirements for the 2024/25 audit in the latest </w:t>
      </w:r>
      <w:r w:rsidRPr="0034145C">
        <w:t>International Standards on Auditing (ISA)</w:t>
      </w:r>
      <w:r>
        <w:t xml:space="preserve">.  ISAs </w:t>
      </w:r>
      <w:r w:rsidRPr="0034145C">
        <w:t>are professional standards for the auditing of financial information</w:t>
      </w:r>
      <w:r>
        <w:t xml:space="preserve"> </w:t>
      </w:r>
      <w:r w:rsidRPr="0034145C">
        <w:t>issued by the International Auditing and Assurance Standards Board (IAASB).</w:t>
      </w:r>
    </w:p>
    <w:p w14:paraId="446EA265" w14:textId="77777777" w:rsidR="0034145C" w:rsidRDefault="0034145C" w:rsidP="0034145C">
      <w:pPr>
        <w:ind w:left="360" w:right="43"/>
      </w:pPr>
    </w:p>
    <w:p w14:paraId="4DC298B1" w14:textId="3E191D10" w:rsidR="0034145C" w:rsidRDefault="0034145C" w:rsidP="004E19EF">
      <w:pPr>
        <w:numPr>
          <w:ilvl w:val="0"/>
          <w:numId w:val="22"/>
        </w:numPr>
        <w:ind w:right="43"/>
      </w:pPr>
      <w:r>
        <w:t xml:space="preserve">For Oxford City Council the </w:t>
      </w:r>
      <w:r w:rsidR="008F6BDD">
        <w:t xml:space="preserve">backlog started with the delay in the </w:t>
      </w:r>
      <w:r w:rsidR="0052283B">
        <w:t xml:space="preserve">finalisation of the </w:t>
      </w:r>
      <w:r w:rsidR="008F6BDD">
        <w:t>audit of the 202</w:t>
      </w:r>
      <w:r w:rsidR="0052283B">
        <w:t>0</w:t>
      </w:r>
      <w:r w:rsidR="008F6BDD">
        <w:t>/2</w:t>
      </w:r>
      <w:r w:rsidR="0052283B">
        <w:t>1</w:t>
      </w:r>
      <w:r w:rsidR="008F6BDD">
        <w:t xml:space="preserve"> statements of accounts</w:t>
      </w:r>
      <w:r w:rsidR="00660B11">
        <w:t xml:space="preserve"> for various reasons with the key one being the evidence around grants; this was the Covid period and grants were issued by Government with little or no documentation to support the grant at audit.  The administration of the grants also led to capacity issues within finance.  There were</w:t>
      </w:r>
      <w:r w:rsidR="008F6BDD">
        <w:t xml:space="preserve"> </w:t>
      </w:r>
      <w:r w:rsidR="0052283B">
        <w:t xml:space="preserve">then further </w:t>
      </w:r>
      <w:r w:rsidR="00660B11">
        <w:t>delays in 2021/22</w:t>
      </w:r>
      <w:r w:rsidR="008F6BDD">
        <w:t xml:space="preserve"> caused by </w:t>
      </w:r>
      <w:r w:rsidR="000B3769">
        <w:t xml:space="preserve">some data issues arising from a computer system implementation.  The delays in this audit had a knock-on effect on the 2022/23 </w:t>
      </w:r>
      <w:proofErr w:type="spellStart"/>
      <w:r w:rsidR="000B3769">
        <w:t>closedown</w:t>
      </w:r>
      <w:proofErr w:type="spellEnd"/>
      <w:r w:rsidR="000B3769">
        <w:t xml:space="preserve"> and then the audit was halted due to the national drive to implement an audit reset.</w:t>
      </w:r>
    </w:p>
    <w:p w14:paraId="2D4D0283" w14:textId="77777777" w:rsidR="008917FE" w:rsidRDefault="008917FE" w:rsidP="008917FE">
      <w:pPr>
        <w:pStyle w:val="ListParagraph"/>
      </w:pPr>
    </w:p>
    <w:p w14:paraId="5F391E51" w14:textId="189E32A6" w:rsidR="008917FE" w:rsidRDefault="008917FE" w:rsidP="004E19EF">
      <w:pPr>
        <w:numPr>
          <w:ilvl w:val="0"/>
          <w:numId w:val="22"/>
        </w:numPr>
        <w:ind w:right="43"/>
      </w:pPr>
      <w:r>
        <w:t>Audit and Governance Committee on 29</w:t>
      </w:r>
      <w:r w:rsidRPr="008917FE">
        <w:rPr>
          <w:vertAlign w:val="superscript"/>
        </w:rPr>
        <w:t>th</w:t>
      </w:r>
      <w:r>
        <w:t xml:space="preserve"> October 2024 agreed to authorise the signing of the </w:t>
      </w:r>
      <w:r w:rsidR="001533CC">
        <w:t>2021/22 and 2022/23 Statements of Accounts</w:t>
      </w:r>
      <w:r w:rsidR="00D2029B">
        <w:t xml:space="preserve"> albeit with disclaimed opinions from the auditors due to lack of time available to undertake the audits in time to meet the Government backstop dates for the issuing of audit opinions, by December 2024.</w:t>
      </w:r>
      <w:r w:rsidR="001533CC">
        <w:t xml:space="preserve">  The statements were signed on 25</w:t>
      </w:r>
      <w:r w:rsidR="001533CC" w:rsidRPr="001533CC">
        <w:rPr>
          <w:vertAlign w:val="superscript"/>
        </w:rPr>
        <w:t>th</w:t>
      </w:r>
      <w:r w:rsidR="001533CC">
        <w:t xml:space="preserve"> and 26</w:t>
      </w:r>
      <w:r w:rsidR="001533CC" w:rsidRPr="001533CC">
        <w:rPr>
          <w:vertAlign w:val="superscript"/>
        </w:rPr>
        <w:t>th</w:t>
      </w:r>
      <w:r w:rsidR="001533CC">
        <w:t xml:space="preserve"> November 2024 and were published prior to the backstop date of </w:t>
      </w:r>
      <w:r w:rsidR="001533CC" w:rsidRPr="001533CC">
        <w:t>13</w:t>
      </w:r>
      <w:r w:rsidR="001533CC" w:rsidRPr="001533CC">
        <w:rPr>
          <w:vertAlign w:val="superscript"/>
        </w:rPr>
        <w:t>th</w:t>
      </w:r>
      <w:r w:rsidR="001533CC">
        <w:t xml:space="preserve"> </w:t>
      </w:r>
      <w:r w:rsidR="001533CC" w:rsidRPr="001533CC">
        <w:t>December 2024</w:t>
      </w:r>
      <w:r w:rsidR="001533CC">
        <w:t>.</w:t>
      </w:r>
    </w:p>
    <w:p w14:paraId="29AD1C58" w14:textId="77777777" w:rsidR="008917FE" w:rsidRDefault="008917FE" w:rsidP="008917FE">
      <w:pPr>
        <w:pStyle w:val="ListParagraph"/>
      </w:pPr>
    </w:p>
    <w:p w14:paraId="59BF162B" w14:textId="0DC8A43C" w:rsidR="008917FE" w:rsidRPr="000B3769" w:rsidRDefault="008917FE" w:rsidP="008917FE">
      <w:pPr>
        <w:ind w:right="43"/>
        <w:rPr>
          <w:b/>
          <w:bCs/>
        </w:rPr>
      </w:pPr>
      <w:r w:rsidRPr="000B3769">
        <w:rPr>
          <w:b/>
          <w:bCs/>
        </w:rPr>
        <w:t>Audit</w:t>
      </w:r>
      <w:r>
        <w:rPr>
          <w:b/>
          <w:bCs/>
        </w:rPr>
        <w:t xml:space="preserve"> Trajectory</w:t>
      </w:r>
    </w:p>
    <w:p w14:paraId="4E89870F" w14:textId="77777777" w:rsidR="000B3769" w:rsidRDefault="000B3769" w:rsidP="00660B11">
      <w:pPr>
        <w:ind w:left="426"/>
      </w:pPr>
    </w:p>
    <w:p w14:paraId="3181759B" w14:textId="3990A73C" w:rsidR="000B3769" w:rsidRDefault="000B3769" w:rsidP="00FF3D86">
      <w:pPr>
        <w:numPr>
          <w:ilvl w:val="0"/>
          <w:numId w:val="22"/>
        </w:numPr>
        <w:ind w:right="43"/>
      </w:pPr>
      <w:r>
        <w:t xml:space="preserve">The </w:t>
      </w:r>
      <w:r w:rsidRPr="000B3769">
        <w:t>Financial Reporting Council</w:t>
      </w:r>
      <w:r w:rsidR="001533CC">
        <w:t xml:space="preserve"> (FRC)</w:t>
      </w:r>
      <w:r w:rsidRPr="000B3769">
        <w:t xml:space="preserve"> “Local Audit Backlog Rebuilding Assurance” Guide</w:t>
      </w:r>
      <w:r>
        <w:t xml:space="preserve">, </w:t>
      </w:r>
      <w:r w:rsidR="001533CC">
        <w:t xml:space="preserve">brought to </w:t>
      </w:r>
      <w:r w:rsidR="001533CC" w:rsidRPr="001533CC">
        <w:t>Audit and Governance Committee on 29th October 2024</w:t>
      </w:r>
      <w:r>
        <w:t>, contains a narrative about the measures being put in place to remove the backlog and put local authority audits back on track</w:t>
      </w:r>
      <w:r w:rsidR="00D2029B">
        <w:t xml:space="preserve"> to unqualified accounts</w:t>
      </w:r>
      <w:r>
        <w:t>.</w:t>
      </w:r>
      <w:r w:rsidR="001533CC">
        <w:t xml:space="preserve">  The quickest trajectory is as per the following table taken from the FRC Document.</w:t>
      </w:r>
    </w:p>
    <w:p w14:paraId="52D3522C" w14:textId="77777777" w:rsidR="001533CC" w:rsidRDefault="001533CC" w:rsidP="001533CC">
      <w:pPr>
        <w:ind w:right="43"/>
      </w:pPr>
    </w:p>
    <w:p w14:paraId="0ED0CFCF" w14:textId="2828C4C8" w:rsidR="001533CC" w:rsidRDefault="00D72EF8" w:rsidP="001533CC">
      <w:pPr>
        <w:ind w:right="43"/>
      </w:pPr>
      <w:r w:rsidRPr="00D72EF8">
        <w:rPr>
          <w:noProof/>
        </w:rPr>
        <w:lastRenderedPageBreak/>
        <w:drawing>
          <wp:inline distT="0" distB="0" distL="0" distR="0" wp14:anchorId="72EE9457" wp14:editId="36CE6C98">
            <wp:extent cx="5467350" cy="7543800"/>
            <wp:effectExtent l="0" t="0" r="0" b="0"/>
            <wp:docPr id="308386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7543800"/>
                    </a:xfrm>
                    <a:prstGeom prst="rect">
                      <a:avLst/>
                    </a:prstGeom>
                    <a:noFill/>
                    <a:ln>
                      <a:noFill/>
                    </a:ln>
                  </pic:spPr>
                </pic:pic>
              </a:graphicData>
            </a:graphic>
          </wp:inline>
        </w:drawing>
      </w:r>
    </w:p>
    <w:p w14:paraId="31312C14" w14:textId="77777777" w:rsidR="00D72EF8" w:rsidRDefault="00D72EF8" w:rsidP="001533CC">
      <w:pPr>
        <w:ind w:right="43"/>
      </w:pPr>
    </w:p>
    <w:p w14:paraId="08713D65" w14:textId="0BC3C09E" w:rsidR="00D72EF8" w:rsidRDefault="00D72EF8" w:rsidP="007712EE">
      <w:pPr>
        <w:numPr>
          <w:ilvl w:val="0"/>
          <w:numId w:val="22"/>
        </w:numPr>
        <w:ind w:right="43"/>
      </w:pPr>
      <w:r>
        <w:t>The actual progress along this path depends on the amount of work that the auditors can complete, their internal assurance methodologies, the capacity of a local authority to manage the workload required for the audit, and the availability of audit evidence.</w:t>
      </w:r>
    </w:p>
    <w:p w14:paraId="2C08AF9B" w14:textId="77777777" w:rsidR="007712EE" w:rsidRDefault="007712EE" w:rsidP="007712EE">
      <w:pPr>
        <w:ind w:left="360" w:right="43"/>
      </w:pPr>
    </w:p>
    <w:p w14:paraId="5C600C6C" w14:textId="2E971B02" w:rsidR="007712EE" w:rsidRDefault="007712EE" w:rsidP="007712EE">
      <w:pPr>
        <w:numPr>
          <w:ilvl w:val="0"/>
          <w:numId w:val="22"/>
        </w:numPr>
        <w:ind w:right="43"/>
      </w:pPr>
      <w:r>
        <w:lastRenderedPageBreak/>
        <w:t xml:space="preserve">As can be seen from this table, the expectation is that at least the 2023/24 and the 2024/25 accounts should be expected to be qualified.  The Council’s External auditors are expecting to be able </w:t>
      </w:r>
      <w:r w:rsidR="00FA708C">
        <w:t xml:space="preserve">to identify the progress towards an unmodified (also known as unqualified) opinion using a traffic light system of </w:t>
      </w:r>
      <w:proofErr w:type="gramStart"/>
      <w:r w:rsidR="00FA708C">
        <w:t>red amber</w:t>
      </w:r>
      <w:proofErr w:type="gramEnd"/>
      <w:r w:rsidR="00FA708C">
        <w:t xml:space="preserve"> and green with an unmodified opinion being where everything is green.</w:t>
      </w:r>
    </w:p>
    <w:p w14:paraId="139D2FDD" w14:textId="77777777" w:rsidR="00FA708C" w:rsidRDefault="00FA708C" w:rsidP="00FA708C">
      <w:pPr>
        <w:pStyle w:val="ListParagraph"/>
      </w:pPr>
    </w:p>
    <w:p w14:paraId="6AF34EE5" w14:textId="4910D963" w:rsidR="00FA708C" w:rsidRDefault="00FA708C" w:rsidP="007712EE">
      <w:pPr>
        <w:numPr>
          <w:ilvl w:val="0"/>
          <w:numId w:val="22"/>
        </w:numPr>
        <w:ind w:right="43"/>
      </w:pPr>
      <w:r>
        <w:t>The process of rebuilding assurance will stretch over</w:t>
      </w:r>
      <w:r w:rsidRPr="00FA708C">
        <w:t xml:space="preserve"> multiple years</w:t>
      </w:r>
      <w:r>
        <w:t xml:space="preserve"> with assurance being built over different areas on a gradual basis.  Clearly this takes planning and the focussing of resources from both the</w:t>
      </w:r>
      <w:r w:rsidR="000C47AE">
        <w:t xml:space="preserve"> external auditors and the council which spans </w:t>
      </w:r>
      <w:proofErr w:type="gramStart"/>
      <w:r w:rsidR="000C47AE">
        <w:t>a number of</w:t>
      </w:r>
      <w:proofErr w:type="gramEnd"/>
      <w:r w:rsidR="000C47AE">
        <w:t xml:space="preserve"> years.  The FRC document </w:t>
      </w:r>
      <w:proofErr w:type="gramStart"/>
      <w:r w:rsidR="000C47AE">
        <w:t>says</w:t>
      </w:r>
      <w:proofErr w:type="gramEnd"/>
      <w:r w:rsidR="000C47AE">
        <w:t xml:space="preserve"> “</w:t>
      </w:r>
      <w:r w:rsidR="000C47AE" w:rsidRPr="000C47AE">
        <w:t>Auditors and audited bodies should work together to agree jointly-owned delivery plans for each year’s audit to enable this.</w:t>
      </w:r>
      <w:r w:rsidR="000C47AE">
        <w:t xml:space="preserve">”  The Council has asked the auditor for their draft plan to achieve this but has not received anything </w:t>
      </w:r>
      <w:proofErr w:type="gramStart"/>
      <w:r w:rsidR="000C47AE">
        <w:t>as yet</w:t>
      </w:r>
      <w:proofErr w:type="gramEnd"/>
      <w:r w:rsidR="000C47AE">
        <w:t>.</w:t>
      </w:r>
    </w:p>
    <w:p w14:paraId="13269D0F" w14:textId="77777777" w:rsidR="00FA708C" w:rsidRDefault="00FA708C" w:rsidP="00FA708C">
      <w:pPr>
        <w:pStyle w:val="ListParagraph"/>
      </w:pPr>
    </w:p>
    <w:p w14:paraId="51380106" w14:textId="27E8C848" w:rsidR="000B3769" w:rsidRPr="000B3769" w:rsidRDefault="00D72EF8" w:rsidP="000B3769">
      <w:pPr>
        <w:ind w:right="43"/>
        <w:rPr>
          <w:b/>
          <w:bCs/>
        </w:rPr>
      </w:pPr>
      <w:bookmarkStart w:id="0" w:name="_Hlk179986410"/>
      <w:r w:rsidRPr="00D72EF8">
        <w:rPr>
          <w:b/>
          <w:bCs/>
        </w:rPr>
        <w:t>Changes to the Statements</w:t>
      </w:r>
      <w:r>
        <w:rPr>
          <w:b/>
          <w:bCs/>
        </w:rPr>
        <w:t xml:space="preserve"> and </w:t>
      </w:r>
      <w:r w:rsidRPr="00D72EF8">
        <w:rPr>
          <w:b/>
          <w:bCs/>
        </w:rPr>
        <w:t>Uncorrected Misstatements</w:t>
      </w:r>
    </w:p>
    <w:bookmarkEnd w:id="0"/>
    <w:p w14:paraId="17FC7B51" w14:textId="77777777" w:rsidR="0034145C" w:rsidRDefault="0034145C" w:rsidP="0034145C">
      <w:pPr>
        <w:ind w:left="360" w:right="43"/>
      </w:pPr>
    </w:p>
    <w:p w14:paraId="0A523174" w14:textId="738E4C4F" w:rsidR="00D65F40" w:rsidRDefault="00D72EF8" w:rsidP="00FF3D86">
      <w:pPr>
        <w:numPr>
          <w:ilvl w:val="0"/>
          <w:numId w:val="22"/>
        </w:numPr>
        <w:ind w:right="43"/>
      </w:pPr>
      <w:r>
        <w:t xml:space="preserve">Often during an audit there will be </w:t>
      </w:r>
      <w:proofErr w:type="gramStart"/>
      <w:r>
        <w:t>a number of</w:t>
      </w:r>
      <w:proofErr w:type="gramEnd"/>
      <w:r>
        <w:t xml:space="preserve"> transactions which have not been made correctly.  Where appropriate and where the changes are agreed by Council finance staff these changes will be made normally be made.  “Uncorrected Misstatements” is a term used by the external auditor to describe items which they believe </w:t>
      </w:r>
      <w:r w:rsidR="007712EE">
        <w:t>have</w:t>
      </w:r>
      <w:r>
        <w:t xml:space="preserve"> not been represented properly in the accounts</w:t>
      </w:r>
      <w:r w:rsidR="007712EE">
        <w:t xml:space="preserve"> and the council concerned has decided not to make a change.  There are </w:t>
      </w:r>
      <w:proofErr w:type="gramStart"/>
      <w:r w:rsidR="007712EE">
        <w:t>a number of</w:t>
      </w:r>
      <w:proofErr w:type="gramEnd"/>
      <w:r w:rsidR="007712EE">
        <w:t xml:space="preserve"> reasons why a change may not be made including: the council does not agree with the auditor’s opinion; the change would be costly to implement (i.e. would involve external advice) or the change cannot be made within the timescale needed.  Additionally in the current position where accounts are expected to be disclaimed or qualified, changes may not be made because pragmatically it is not appropriate i.e. because additional work won’t change an opinion or </w:t>
      </w:r>
      <w:proofErr w:type="gramStart"/>
      <w:r w:rsidR="007712EE">
        <w:t>in order to</w:t>
      </w:r>
      <w:proofErr w:type="gramEnd"/>
      <w:r w:rsidR="007712EE">
        <w:t xml:space="preserve"> focus on clearing other areas of the accounts.</w:t>
      </w:r>
    </w:p>
    <w:p w14:paraId="011810EC" w14:textId="77777777" w:rsidR="005A7827" w:rsidRDefault="005A7827" w:rsidP="005A7827">
      <w:pPr>
        <w:ind w:left="360" w:right="43"/>
      </w:pPr>
    </w:p>
    <w:p w14:paraId="2E9115EA" w14:textId="0C6EE20F" w:rsidR="005A7827" w:rsidRPr="000B3769" w:rsidRDefault="000C47AE" w:rsidP="005A7827">
      <w:pPr>
        <w:ind w:right="43"/>
        <w:rPr>
          <w:b/>
          <w:bCs/>
        </w:rPr>
      </w:pPr>
      <w:r>
        <w:rPr>
          <w:b/>
          <w:bCs/>
        </w:rPr>
        <w:t>The Statement of Accounts</w:t>
      </w:r>
    </w:p>
    <w:p w14:paraId="2B2AC44C" w14:textId="77777777" w:rsidR="005A7827" w:rsidRDefault="005A7827" w:rsidP="005A7827">
      <w:pPr>
        <w:ind w:left="360" w:right="43"/>
      </w:pPr>
    </w:p>
    <w:p w14:paraId="24735934" w14:textId="3812ACFC" w:rsidR="000C47AE" w:rsidRDefault="000C47AE" w:rsidP="000C47AE">
      <w:pPr>
        <w:numPr>
          <w:ilvl w:val="0"/>
          <w:numId w:val="22"/>
        </w:numPr>
        <w:ind w:left="426" w:right="43"/>
      </w:pPr>
      <w:r>
        <w:t xml:space="preserve">The </w:t>
      </w:r>
      <w:r w:rsidRPr="000C47AE">
        <w:t>Statement of Accounts</w:t>
      </w:r>
      <w:r>
        <w:t xml:space="preserve"> for 2023/24 is attached at Appendix 1 to this report.  </w:t>
      </w:r>
      <w:r w:rsidRPr="00B66B8B">
        <w:t xml:space="preserve">The </w:t>
      </w:r>
      <w:bookmarkStart w:id="1" w:name="_Hlk185930992"/>
      <w:r w:rsidRPr="00B66B8B">
        <w:t xml:space="preserve">Statement of Accounts </w:t>
      </w:r>
      <w:bookmarkEnd w:id="1"/>
      <w:r w:rsidRPr="00B66B8B">
        <w:t>consists of the following:</w:t>
      </w:r>
    </w:p>
    <w:p w14:paraId="2AF989A6" w14:textId="77777777" w:rsidR="000C47AE" w:rsidRPr="00B17F2F" w:rsidRDefault="000C47AE" w:rsidP="000C47AE">
      <w:pPr>
        <w:pStyle w:val="ListParagraph"/>
        <w:numPr>
          <w:ilvl w:val="0"/>
          <w:numId w:val="23"/>
        </w:numPr>
        <w:ind w:right="43"/>
      </w:pPr>
      <w:r>
        <w:t xml:space="preserve">The Statement of Responsibilities, setting out the general responsibilities of both the City Council, and the Section 151 Officer (The Head of Financial Services). The Head of Financial Services </w:t>
      </w:r>
      <w:proofErr w:type="gramStart"/>
      <w:r>
        <w:t>has to</w:t>
      </w:r>
      <w:proofErr w:type="gramEnd"/>
      <w:r>
        <w:t xml:space="preserve"> sign a statement that the Accounts present a true and fair view of the financial position of the Council at the accounting date and its income and </w:t>
      </w:r>
      <w:r w:rsidRPr="00B17F2F">
        <w:t>expenditure for that year then ended (page 6 and page 26).</w:t>
      </w:r>
    </w:p>
    <w:p w14:paraId="42227375" w14:textId="401C7AD1" w:rsidR="000C47AE" w:rsidRPr="005C3EF6" w:rsidRDefault="000C47AE" w:rsidP="000C47AE">
      <w:pPr>
        <w:pStyle w:val="ListParagraph"/>
        <w:numPr>
          <w:ilvl w:val="0"/>
          <w:numId w:val="23"/>
        </w:numPr>
        <w:ind w:right="43"/>
      </w:pPr>
      <w:r w:rsidRPr="00B17F2F">
        <w:t>The Core Financial Statements</w:t>
      </w:r>
      <w:r>
        <w:t xml:space="preserve"> and Expenditure and Funding Analysis</w:t>
      </w:r>
      <w:r w:rsidRPr="00B17F2F">
        <w:t xml:space="preserve"> (pages </w:t>
      </w:r>
      <w:r w:rsidRPr="00FE073E">
        <w:t>21 to 27</w:t>
      </w:r>
      <w:r w:rsidRPr="00B17F2F">
        <w:t>) and supplementary</w:t>
      </w:r>
      <w:r>
        <w:t xml:space="preserve"> </w:t>
      </w:r>
      <w:r w:rsidRPr="00B17F2F">
        <w:t>statements (</w:t>
      </w:r>
      <w:r w:rsidRPr="005C3EF6">
        <w:t>pages 9</w:t>
      </w:r>
      <w:r w:rsidR="006B70D8">
        <w:t>1</w:t>
      </w:r>
      <w:r w:rsidRPr="005C3EF6">
        <w:t xml:space="preserve"> to </w:t>
      </w:r>
      <w:r w:rsidR="006B70D8">
        <w:t>100</w:t>
      </w:r>
      <w:r w:rsidRPr="005C3EF6">
        <w:t xml:space="preserve">) and group accounts (pages </w:t>
      </w:r>
      <w:r w:rsidR="006B70D8">
        <w:t>101</w:t>
      </w:r>
      <w:r w:rsidRPr="005C3EF6">
        <w:t xml:space="preserve"> to 12</w:t>
      </w:r>
      <w:r w:rsidR="006B70D8">
        <w:t>8</w:t>
      </w:r>
      <w:r w:rsidRPr="005C3EF6">
        <w:t>) incorporating:</w:t>
      </w:r>
    </w:p>
    <w:p w14:paraId="3EB4144A" w14:textId="77777777" w:rsidR="000C47AE" w:rsidRDefault="000C47AE" w:rsidP="000C47AE">
      <w:pPr>
        <w:pStyle w:val="ListParagraph"/>
        <w:numPr>
          <w:ilvl w:val="0"/>
          <w:numId w:val="26"/>
        </w:numPr>
        <w:ind w:right="43"/>
      </w:pPr>
      <w:r>
        <w:t xml:space="preserve">A Movement in Reserves Statement (MIRS) - a statement used to adjust International Financial Reporting Standard accounting practice to Local Government proper practice to ensure the accounting </w:t>
      </w:r>
      <w:r>
        <w:lastRenderedPageBreak/>
        <w:t xml:space="preserve">changes do not impact on Council Tax and create any additional burden to the </w:t>
      </w:r>
      <w:proofErr w:type="gramStart"/>
      <w:r>
        <w:t>tax payer</w:t>
      </w:r>
      <w:proofErr w:type="gramEnd"/>
      <w:r>
        <w:t>.</w:t>
      </w:r>
    </w:p>
    <w:p w14:paraId="1D7B2AFC" w14:textId="77777777" w:rsidR="000C47AE" w:rsidRDefault="000C47AE" w:rsidP="000C47AE">
      <w:pPr>
        <w:pStyle w:val="ListParagraph"/>
        <w:numPr>
          <w:ilvl w:val="0"/>
          <w:numId w:val="26"/>
        </w:numPr>
        <w:ind w:right="43"/>
      </w:pPr>
      <w:r>
        <w:t>The Comprehensive Income and Expenditure Statement - a statement which incorporates all revenue income and expenditure relating to the year.</w:t>
      </w:r>
    </w:p>
    <w:p w14:paraId="192CBFB2" w14:textId="77777777" w:rsidR="000C47AE" w:rsidRDefault="000C47AE" w:rsidP="000C47AE">
      <w:pPr>
        <w:pStyle w:val="ListParagraph"/>
        <w:numPr>
          <w:ilvl w:val="0"/>
          <w:numId w:val="26"/>
        </w:numPr>
        <w:ind w:right="43"/>
      </w:pPr>
      <w:r>
        <w:t>Expenditure and Funding Analysis - a statement that supports and provides more information on the Comprehensive Income and Expenditure Statement.</w:t>
      </w:r>
    </w:p>
    <w:p w14:paraId="64C2C157" w14:textId="77777777" w:rsidR="000C47AE" w:rsidRDefault="000C47AE" w:rsidP="000C47AE">
      <w:pPr>
        <w:pStyle w:val="ListParagraph"/>
        <w:numPr>
          <w:ilvl w:val="0"/>
          <w:numId w:val="26"/>
        </w:numPr>
        <w:ind w:right="43"/>
      </w:pPr>
      <w:r>
        <w:t>A Balance Sheet – a statement which records all the assets and liabilities at the Balance Sheet date of 31 March.</w:t>
      </w:r>
    </w:p>
    <w:p w14:paraId="1E8010DB" w14:textId="77777777" w:rsidR="000C47AE" w:rsidRDefault="000C47AE" w:rsidP="000C47AE">
      <w:pPr>
        <w:pStyle w:val="ListParagraph"/>
        <w:numPr>
          <w:ilvl w:val="0"/>
          <w:numId w:val="26"/>
        </w:numPr>
        <w:ind w:right="43"/>
      </w:pPr>
      <w:r>
        <w:t xml:space="preserve">A Cashflow Statement - a statement that shows the inflows and outflows of cash during the year reconciled to the </w:t>
      </w:r>
      <w:proofErr w:type="spellStart"/>
      <w:r>
        <w:t>year end</w:t>
      </w:r>
      <w:proofErr w:type="spellEnd"/>
      <w:r>
        <w:t xml:space="preserve"> cash position.</w:t>
      </w:r>
    </w:p>
    <w:p w14:paraId="32136AC4" w14:textId="06BD9D6D" w:rsidR="000C47AE" w:rsidRDefault="000C47AE" w:rsidP="000C47AE">
      <w:pPr>
        <w:pStyle w:val="ListParagraph"/>
        <w:numPr>
          <w:ilvl w:val="0"/>
          <w:numId w:val="26"/>
        </w:numPr>
        <w:ind w:right="43"/>
      </w:pPr>
      <w:r>
        <w:t xml:space="preserve">The Housing Revenue Account - a statement which brings together all transactions during the year in relation to the management and maintenance of the </w:t>
      </w:r>
      <w:r w:rsidRPr="00A21974">
        <w:t>Council’s 7,</w:t>
      </w:r>
      <w:r w:rsidR="006B70D8">
        <w:t>884</w:t>
      </w:r>
      <w:r>
        <w:t xml:space="preserve"> dwelling stock.</w:t>
      </w:r>
    </w:p>
    <w:p w14:paraId="2DF3A670" w14:textId="77777777" w:rsidR="000C47AE" w:rsidRDefault="000C47AE" w:rsidP="000C47AE">
      <w:pPr>
        <w:pStyle w:val="ListParagraph"/>
        <w:numPr>
          <w:ilvl w:val="0"/>
          <w:numId w:val="26"/>
        </w:numPr>
        <w:ind w:right="43"/>
      </w:pPr>
      <w:r>
        <w:t>Collection Fund - a statement which brings together all transactions during the year relating to the collection of Business Rates and Council Tax income together with payments and receipts from Government and payments made to the preceptors; the County Council, Police and Crime Commissioner (Thames Valley) and Parish Councils.</w:t>
      </w:r>
    </w:p>
    <w:p w14:paraId="7744EA3B" w14:textId="24AF6EE2" w:rsidR="000C47AE" w:rsidRDefault="000C47AE" w:rsidP="000C47AE">
      <w:pPr>
        <w:pStyle w:val="ListParagraph"/>
        <w:numPr>
          <w:ilvl w:val="0"/>
          <w:numId w:val="26"/>
        </w:numPr>
        <w:ind w:right="43"/>
      </w:pPr>
      <w:r>
        <w:t>Group Accounts - statements which reflect the Council’s 50% interest with Grosvenor Developments Limited in a joint venture for the construction of dwellings at Barton</w:t>
      </w:r>
      <w:r w:rsidR="00FE7E6A">
        <w:t xml:space="preserve"> (Barton LLP)</w:t>
      </w:r>
      <w:r>
        <w:t>, a 50% interest with Nuffield College in a joint venture for the regeneration of the West End area of Oxford, (</w:t>
      </w:r>
      <w:proofErr w:type="spellStart"/>
      <w:r>
        <w:t>Ox</w:t>
      </w:r>
      <w:r w:rsidR="00FE7E6A">
        <w:t>wed</w:t>
      </w:r>
      <w:proofErr w:type="spellEnd"/>
      <w:r w:rsidR="00FE7E6A">
        <w:t xml:space="preserve"> LLP</w:t>
      </w:r>
      <w:r>
        <w:t>) and the Council’s wholly owned companies, the Housing Company Group, Oxford City Housing Ltd (OCHL), Oxford Direct Services Limited (ODSL) and Oxford Direct Services Trading Limited (ODSTL). The Council’s share of the assets and liabilities of these entities are required to be incorporated into the Council’s accounts.</w:t>
      </w:r>
    </w:p>
    <w:p w14:paraId="52A3F5EC" w14:textId="1FDB4A2A" w:rsidR="000C47AE" w:rsidRDefault="000C47AE" w:rsidP="000C47AE">
      <w:pPr>
        <w:pStyle w:val="ListParagraph"/>
        <w:numPr>
          <w:ilvl w:val="0"/>
          <w:numId w:val="26"/>
        </w:numPr>
        <w:ind w:right="43"/>
      </w:pPr>
      <w:r w:rsidRPr="000C47AE">
        <w:t>The Statement of Accounting Policies, setting out the detailed rules under which we account for assets, liabilities, income and expenditure (pages 1</w:t>
      </w:r>
      <w:r w:rsidR="00FE7E6A">
        <w:t>31</w:t>
      </w:r>
      <w:r w:rsidRPr="000C47AE">
        <w:t xml:space="preserve"> to 14</w:t>
      </w:r>
      <w:r w:rsidR="00FE7E6A">
        <w:t>9</w:t>
      </w:r>
      <w:r w:rsidRPr="000C47AE">
        <w:t>).</w:t>
      </w:r>
    </w:p>
    <w:p w14:paraId="616C2FEE" w14:textId="77777777" w:rsidR="000C47AE" w:rsidRDefault="000C47AE" w:rsidP="000C47AE">
      <w:pPr>
        <w:ind w:left="360" w:right="43"/>
      </w:pPr>
    </w:p>
    <w:p w14:paraId="4FF92A43" w14:textId="77777777" w:rsidR="000C47AE" w:rsidRPr="002D3151" w:rsidRDefault="000C47AE" w:rsidP="000C47AE">
      <w:pPr>
        <w:ind w:right="43"/>
        <w:rPr>
          <w:b/>
        </w:rPr>
      </w:pPr>
      <w:r w:rsidRPr="002D3151">
        <w:rPr>
          <w:b/>
        </w:rPr>
        <w:t>Letter of Representation</w:t>
      </w:r>
    </w:p>
    <w:p w14:paraId="24D72FF6" w14:textId="77777777" w:rsidR="000C47AE" w:rsidRDefault="000C47AE" w:rsidP="000C47AE">
      <w:pPr>
        <w:ind w:left="426" w:right="43"/>
      </w:pPr>
    </w:p>
    <w:p w14:paraId="607A089A" w14:textId="61122463" w:rsidR="00D36133" w:rsidRDefault="00D36133" w:rsidP="000C47AE">
      <w:pPr>
        <w:numPr>
          <w:ilvl w:val="0"/>
          <w:numId w:val="22"/>
        </w:numPr>
        <w:ind w:right="43"/>
      </w:pPr>
      <w:r>
        <w:t xml:space="preserve">Every year the external auditor requires a letter of representations to be signed alongside the statement of accounts.  This is a standard </w:t>
      </w:r>
      <w:proofErr w:type="gramStart"/>
      <w:r>
        <w:t>process</w:t>
      </w:r>
      <w:proofErr w:type="gramEnd"/>
      <w:r>
        <w:t xml:space="preserve"> and the letter just provides confirmation to the auditor of various matters to assure the auditor that they have been presented with full information and that there aren’t any matters not brought to their attention that could adversely affect the audit opinion.</w:t>
      </w:r>
    </w:p>
    <w:p w14:paraId="2702986D" w14:textId="77777777" w:rsidR="00754009" w:rsidRDefault="00754009" w:rsidP="00754009">
      <w:pPr>
        <w:ind w:left="360" w:right="43"/>
      </w:pPr>
    </w:p>
    <w:p w14:paraId="6E57A377" w14:textId="44587ED1" w:rsidR="000C47AE" w:rsidRDefault="000C47AE" w:rsidP="000C47AE">
      <w:pPr>
        <w:numPr>
          <w:ilvl w:val="0"/>
          <w:numId w:val="22"/>
        </w:numPr>
        <w:ind w:right="43"/>
      </w:pPr>
      <w:r w:rsidRPr="00274FD7">
        <w:t xml:space="preserve">Attached at Appendix 2 is </w:t>
      </w:r>
      <w:r w:rsidR="00D36133">
        <w:t xml:space="preserve">the </w:t>
      </w:r>
      <w:r w:rsidRPr="00274FD7">
        <w:t xml:space="preserve">Letter of Representation </w:t>
      </w:r>
      <w:r w:rsidR="00D36133">
        <w:t>from 2022/23 as an example of the contents of a</w:t>
      </w:r>
      <w:r w:rsidR="00D36133" w:rsidRPr="00D36133">
        <w:t xml:space="preserve"> Letter of Representation</w:t>
      </w:r>
      <w:r w:rsidR="00D36133">
        <w:t xml:space="preserve"> to put the contents into perspective.  The </w:t>
      </w:r>
      <w:r w:rsidRPr="00274FD7">
        <w:t>Committee is asked to approve</w:t>
      </w:r>
      <w:r>
        <w:t xml:space="preserve"> </w:t>
      </w:r>
      <w:r w:rsidR="00D36133">
        <w:t>in principle the signing of a similar letter for 2023/24</w:t>
      </w:r>
      <w:r w:rsidRPr="00274FD7">
        <w:t>. This letter</w:t>
      </w:r>
      <w:r w:rsidR="00754009">
        <w:t xml:space="preserve"> is</w:t>
      </w:r>
      <w:r w:rsidRPr="00274FD7">
        <w:t xml:space="preserve"> from the Council’s Section 151 Officer </w:t>
      </w:r>
      <w:r>
        <w:t xml:space="preserve">and the Chair of Audit and Governance Committee </w:t>
      </w:r>
      <w:r w:rsidRPr="00274FD7">
        <w:t xml:space="preserve">setting out the processes </w:t>
      </w:r>
      <w:r w:rsidRPr="00274FD7">
        <w:lastRenderedPageBreak/>
        <w:t xml:space="preserve">and procedures the Council adopts to ensure that it </w:t>
      </w:r>
      <w:proofErr w:type="gramStart"/>
      <w:r w:rsidRPr="00274FD7">
        <w:t>is in compliance with</w:t>
      </w:r>
      <w:proofErr w:type="gramEnd"/>
      <w:r w:rsidRPr="00274FD7">
        <w:t xml:space="preserve"> its statutory requirements and that it has a sufficiently robust control framework to prevent and detect fraud and irregularities. Ernst and Young require this letter before they issue their opinion</w:t>
      </w:r>
      <w:r>
        <w:t xml:space="preserve"> but should be signed and dated on the day that the external auditors issue their opinion</w:t>
      </w:r>
      <w:r w:rsidRPr="00274FD7">
        <w:t>.</w:t>
      </w:r>
    </w:p>
    <w:p w14:paraId="07022E96" w14:textId="77777777" w:rsidR="000C47AE" w:rsidRDefault="000C47AE" w:rsidP="000C47AE">
      <w:pPr>
        <w:ind w:left="360" w:right="43"/>
      </w:pPr>
    </w:p>
    <w:p w14:paraId="050EAB4F" w14:textId="77777777" w:rsidR="00EE716F" w:rsidRDefault="00EE716F" w:rsidP="008D7861">
      <w:pPr>
        <w:ind w:right="43"/>
        <w:rPr>
          <w:b/>
        </w:rPr>
      </w:pPr>
      <w:bookmarkStart w:id="2" w:name="_Hlk180141014"/>
      <w:r w:rsidRPr="002D3151">
        <w:rPr>
          <w:b/>
        </w:rPr>
        <w:t>Financial Implications</w:t>
      </w:r>
    </w:p>
    <w:p w14:paraId="1ECEA069" w14:textId="77777777" w:rsidR="008D7861" w:rsidRPr="008D7861" w:rsidRDefault="008D7861" w:rsidP="008D7861">
      <w:pPr>
        <w:ind w:right="43"/>
      </w:pPr>
    </w:p>
    <w:bookmarkEnd w:id="2"/>
    <w:p w14:paraId="77ECA426" w14:textId="77777777" w:rsidR="00EE716F" w:rsidRDefault="00EE716F" w:rsidP="00577DA8">
      <w:pPr>
        <w:numPr>
          <w:ilvl w:val="0"/>
          <w:numId w:val="22"/>
        </w:numPr>
        <w:ind w:right="43"/>
      </w:pPr>
      <w:r w:rsidRPr="00EE716F">
        <w:t>These are covered within the main body of the report.</w:t>
      </w:r>
    </w:p>
    <w:p w14:paraId="4C6234FF" w14:textId="77777777" w:rsidR="00EE716F" w:rsidRDefault="00EE716F" w:rsidP="002D3151">
      <w:pPr>
        <w:ind w:left="426" w:right="43"/>
      </w:pPr>
    </w:p>
    <w:p w14:paraId="6E9809C1" w14:textId="77777777" w:rsidR="00EE716F" w:rsidRDefault="00EE716F" w:rsidP="00EE716F">
      <w:pPr>
        <w:ind w:right="43"/>
        <w:rPr>
          <w:b/>
        </w:rPr>
      </w:pPr>
      <w:r w:rsidRPr="002D3151">
        <w:rPr>
          <w:b/>
        </w:rPr>
        <w:t>Legal Implications</w:t>
      </w:r>
    </w:p>
    <w:p w14:paraId="59BB1943" w14:textId="77777777" w:rsidR="008D7861" w:rsidRPr="008D7861" w:rsidRDefault="008D7861" w:rsidP="00EE716F">
      <w:pPr>
        <w:ind w:right="43"/>
      </w:pPr>
    </w:p>
    <w:p w14:paraId="79C50BC2" w14:textId="3CDA07C9" w:rsidR="00EE716F" w:rsidRDefault="0058051A" w:rsidP="0058051A">
      <w:pPr>
        <w:numPr>
          <w:ilvl w:val="0"/>
          <w:numId w:val="22"/>
        </w:numPr>
        <w:ind w:right="43"/>
      </w:pPr>
      <w:r>
        <w:t xml:space="preserve">In accordance with the </w:t>
      </w:r>
      <w:r w:rsidRPr="0058051A">
        <w:t xml:space="preserve">Accounts and Audit Regulations </w:t>
      </w:r>
      <w:r w:rsidR="001B6734">
        <w:t>2024</w:t>
      </w:r>
      <w:r w:rsidR="000250B4">
        <w:t>,</w:t>
      </w:r>
      <w:r>
        <w:t xml:space="preserve"> the accounts </w:t>
      </w:r>
      <w:r w:rsidR="001B6734">
        <w:t xml:space="preserve">for </w:t>
      </w:r>
      <w:r w:rsidR="000C47AE">
        <w:t>2023/24</w:t>
      </w:r>
      <w:r w:rsidR="001B6734">
        <w:t xml:space="preserve"> </w:t>
      </w:r>
      <w:r>
        <w:t>must be audited, approved and</w:t>
      </w:r>
      <w:r w:rsidRPr="0058051A">
        <w:t xml:space="preserve"> </w:t>
      </w:r>
      <w:r>
        <w:t xml:space="preserve">published by </w:t>
      </w:r>
      <w:r w:rsidR="00AC6277" w:rsidRPr="00AC6277">
        <w:t>28</w:t>
      </w:r>
      <w:r w:rsidR="00AC6277" w:rsidRPr="00AC6277">
        <w:rPr>
          <w:vertAlign w:val="superscript"/>
        </w:rPr>
        <w:t>th</w:t>
      </w:r>
      <w:r w:rsidR="00AC6277">
        <w:t xml:space="preserve"> February 2025</w:t>
      </w:r>
      <w:r w:rsidR="00EE716F" w:rsidRPr="00EE716F">
        <w:t>.</w:t>
      </w:r>
    </w:p>
    <w:p w14:paraId="17610B50" w14:textId="77777777" w:rsidR="00EE716F" w:rsidRDefault="00EE716F" w:rsidP="002D3151">
      <w:pPr>
        <w:ind w:left="426" w:right="43"/>
      </w:pPr>
    </w:p>
    <w:p w14:paraId="00FBBD08" w14:textId="77777777" w:rsidR="00EE716F" w:rsidRDefault="00EE716F" w:rsidP="00EE716F">
      <w:pPr>
        <w:ind w:right="43"/>
        <w:rPr>
          <w:b/>
        </w:rPr>
      </w:pPr>
      <w:r>
        <w:rPr>
          <w:b/>
        </w:rPr>
        <w:t>Risk</w:t>
      </w:r>
      <w:r w:rsidRPr="00722A59">
        <w:rPr>
          <w:b/>
        </w:rPr>
        <w:t xml:space="preserve"> Implications</w:t>
      </w:r>
    </w:p>
    <w:p w14:paraId="548F7B86" w14:textId="77777777" w:rsidR="008D7861" w:rsidRPr="008D7861" w:rsidRDefault="008D7861" w:rsidP="00EE716F">
      <w:pPr>
        <w:ind w:right="43"/>
      </w:pPr>
    </w:p>
    <w:p w14:paraId="16FF8078" w14:textId="40AA150C" w:rsidR="0088692D" w:rsidRDefault="001B6734" w:rsidP="00577DA8">
      <w:pPr>
        <w:numPr>
          <w:ilvl w:val="0"/>
          <w:numId w:val="22"/>
        </w:numPr>
        <w:ind w:right="43"/>
      </w:pPr>
      <w:r>
        <w:t xml:space="preserve">If the accounts for </w:t>
      </w:r>
      <w:r w:rsidR="00AC6277">
        <w:t>2023/24</w:t>
      </w:r>
      <w:r>
        <w:t xml:space="preserve"> and associated letter of representation are not approved and delegations provided for signing, the Council will not be able to comply with backstop date for those years and would risk being named as a non-compliant council</w:t>
      </w:r>
      <w:r w:rsidR="0058051A">
        <w:t>.</w:t>
      </w:r>
      <w:r w:rsidR="0088692D">
        <w:t xml:space="preserve">  </w:t>
      </w:r>
    </w:p>
    <w:p w14:paraId="32D4BC84" w14:textId="77777777" w:rsidR="0088692D" w:rsidRDefault="0088692D" w:rsidP="0088692D">
      <w:pPr>
        <w:ind w:left="360" w:right="43"/>
      </w:pPr>
    </w:p>
    <w:p w14:paraId="1F82B68C" w14:textId="13B78A9C" w:rsidR="00EE716F" w:rsidRDefault="00AC6277" w:rsidP="00577DA8">
      <w:pPr>
        <w:numPr>
          <w:ilvl w:val="0"/>
          <w:numId w:val="22"/>
        </w:numPr>
        <w:ind w:right="43"/>
      </w:pPr>
      <w:r>
        <w:t>T</w:t>
      </w:r>
      <w:r w:rsidRPr="00AC6277">
        <w:t xml:space="preserve">here could potentially be an impact on the Council’s companies if they </w:t>
      </w:r>
      <w:proofErr w:type="gramStart"/>
      <w:r w:rsidRPr="00AC6277">
        <w:t>have to</w:t>
      </w:r>
      <w:proofErr w:type="gramEnd"/>
      <w:r w:rsidRPr="00AC6277">
        <w:t xml:space="preserve"> rely on the parent for any assurance on contracts.  The reasons for disclaimers being issued in the local government sector have been well documented and publicised so it would be expected that an explanation of the position and the demonstration that this is a sector-wide issue which is not due to the specific failings of individual authorities would mitigate the risk to an extent.</w:t>
      </w:r>
    </w:p>
    <w:p w14:paraId="74A1E941" w14:textId="77777777" w:rsidR="00EE716F" w:rsidRDefault="00EE716F" w:rsidP="002D3151">
      <w:pPr>
        <w:ind w:left="426" w:right="43"/>
      </w:pPr>
    </w:p>
    <w:p w14:paraId="027E5F00" w14:textId="77777777" w:rsidR="00EE716F" w:rsidRDefault="00EE716F" w:rsidP="008D7861">
      <w:pPr>
        <w:ind w:right="43"/>
        <w:rPr>
          <w:b/>
        </w:rPr>
      </w:pPr>
      <w:r w:rsidRPr="002D3151">
        <w:rPr>
          <w:b/>
        </w:rPr>
        <w:t>Communication</w:t>
      </w:r>
    </w:p>
    <w:p w14:paraId="450F2431" w14:textId="77777777" w:rsidR="008D7861" w:rsidRPr="008D7861" w:rsidRDefault="008D7861" w:rsidP="008D7861">
      <w:pPr>
        <w:ind w:right="43"/>
      </w:pPr>
    </w:p>
    <w:p w14:paraId="0F4CA2CF" w14:textId="4E1F17E6" w:rsidR="00B73B72" w:rsidRDefault="00B73B72" w:rsidP="00E15F0B">
      <w:pPr>
        <w:numPr>
          <w:ilvl w:val="0"/>
          <w:numId w:val="22"/>
        </w:numPr>
        <w:ind w:right="43"/>
      </w:pPr>
      <w:r w:rsidRPr="00370087">
        <w:t xml:space="preserve">The Council’s accounts </w:t>
      </w:r>
      <w:r w:rsidR="001B6734">
        <w:t xml:space="preserve">for </w:t>
      </w:r>
      <w:r w:rsidR="00AC6277">
        <w:t>2023/24</w:t>
      </w:r>
      <w:r w:rsidR="001B6734">
        <w:t xml:space="preserve"> have been available for public inspection and details of how </w:t>
      </w:r>
      <w:r>
        <w:t xml:space="preserve">a local government elector for the area of the </w:t>
      </w:r>
      <w:r w:rsidR="0058051A">
        <w:t>C</w:t>
      </w:r>
      <w:r>
        <w:t>ouncil</w:t>
      </w:r>
      <w:r w:rsidR="0058051A">
        <w:t xml:space="preserve"> </w:t>
      </w:r>
      <w:r>
        <w:t>or their representative may make an appointment to ask the auditor questions</w:t>
      </w:r>
      <w:r w:rsidR="0058051A">
        <w:t xml:space="preserve"> </w:t>
      </w:r>
      <w:r>
        <w:t>about the accounts</w:t>
      </w:r>
      <w:r w:rsidR="001B6734">
        <w:t xml:space="preserve"> have been published</w:t>
      </w:r>
      <w:r>
        <w:t>.</w:t>
      </w:r>
      <w:r w:rsidR="0058051A">
        <w:t xml:space="preserve">  In </w:t>
      </w:r>
      <w:proofErr w:type="gramStart"/>
      <w:r w:rsidR="0058051A">
        <w:t>addition</w:t>
      </w:r>
      <w:proofErr w:type="gramEnd"/>
      <w:r w:rsidR="0058051A">
        <w:t xml:space="preserve"> the</w:t>
      </w:r>
      <w:r w:rsidR="001B6734">
        <w:t xml:space="preserve"> elector or representative </w:t>
      </w:r>
      <w:r>
        <w:t>may object to the Council’s accounts</w:t>
      </w:r>
      <w:r w:rsidR="008D7861">
        <w:t>,</w:t>
      </w:r>
      <w:r>
        <w:t xml:space="preserve"> asking that the auditor</w:t>
      </w:r>
      <w:r w:rsidR="008D7861">
        <w:t xml:space="preserve"> </w:t>
      </w:r>
      <w:r>
        <w:t>issue a report in the public interest or which is contrary to law (under section</w:t>
      </w:r>
      <w:r w:rsidR="008D7861">
        <w:t xml:space="preserve"> </w:t>
      </w:r>
      <w:r>
        <w:t>28 of the Local Audit and Accountability Act 2014). Written notice of a</w:t>
      </w:r>
      <w:r w:rsidR="008D7861">
        <w:t xml:space="preserve"> </w:t>
      </w:r>
      <w:r>
        <w:t>proposed objection and the grounds on which it is made must be sent to the</w:t>
      </w:r>
      <w:r w:rsidR="008D7861">
        <w:t xml:space="preserve"> </w:t>
      </w:r>
      <w:r>
        <w:t xml:space="preserve">auditor at the address </w:t>
      </w:r>
      <w:r w:rsidR="008D7861">
        <w:t>provided on the Council’s website</w:t>
      </w:r>
      <w:r>
        <w:t>.</w:t>
      </w:r>
    </w:p>
    <w:p w14:paraId="0A0E94B4" w14:textId="77777777" w:rsidR="008D7861" w:rsidRDefault="008D7861" w:rsidP="008D7861">
      <w:pPr>
        <w:ind w:left="360" w:right="43"/>
      </w:pPr>
    </w:p>
    <w:p w14:paraId="6C6B6506" w14:textId="77777777" w:rsidR="008D7861" w:rsidRDefault="008D7861" w:rsidP="00577DA8">
      <w:pPr>
        <w:numPr>
          <w:ilvl w:val="0"/>
          <w:numId w:val="22"/>
        </w:numPr>
        <w:ind w:right="43"/>
      </w:pPr>
      <w:r>
        <w:t>There were no objections lodged.</w:t>
      </w:r>
    </w:p>
    <w:p w14:paraId="6F0F9AC0" w14:textId="77777777" w:rsidR="00B73B72" w:rsidRDefault="00B73B72" w:rsidP="00B73B72">
      <w:pPr>
        <w:ind w:left="360" w:right="43"/>
      </w:pPr>
    </w:p>
    <w:p w14:paraId="44B0B674" w14:textId="592D0E49" w:rsidR="00EE716F" w:rsidRDefault="00EE716F" w:rsidP="00577DA8">
      <w:pPr>
        <w:numPr>
          <w:ilvl w:val="0"/>
          <w:numId w:val="22"/>
        </w:numPr>
        <w:ind w:right="43"/>
      </w:pPr>
      <w:r>
        <w:t xml:space="preserve">The Statement of Accounts for </w:t>
      </w:r>
      <w:r w:rsidR="00AC6277">
        <w:t>2023/24</w:t>
      </w:r>
      <w:r w:rsidR="001B6734">
        <w:t xml:space="preserve"> </w:t>
      </w:r>
      <w:r>
        <w:t xml:space="preserve">will be published on the Council’s website </w:t>
      </w:r>
      <w:r w:rsidR="008D7861">
        <w:t xml:space="preserve">after approval </w:t>
      </w:r>
      <w:r>
        <w:t>along with a notice confirming the conclusion of the audit</w:t>
      </w:r>
      <w:r w:rsidR="008D7861">
        <w:t xml:space="preserve"> and alongside the Annual Governance Statement for the year</w:t>
      </w:r>
      <w:r>
        <w:t>.</w:t>
      </w:r>
    </w:p>
    <w:p w14:paraId="4A545FF9" w14:textId="77777777" w:rsidR="005C2AE5" w:rsidRDefault="005C2AE5" w:rsidP="00547E28">
      <w:pPr>
        <w:ind w:right="43"/>
      </w:pPr>
    </w:p>
    <w:tbl>
      <w:tblPr>
        <w:tblW w:w="96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64"/>
      </w:tblGrid>
      <w:tr w:rsidR="00766105" w14:paraId="77C39933" w14:textId="77777777" w:rsidTr="00195171">
        <w:trPr>
          <w:trHeight w:val="270"/>
        </w:trPr>
        <w:tc>
          <w:tcPr>
            <w:tcW w:w="9664" w:type="dxa"/>
          </w:tcPr>
          <w:p w14:paraId="21F2B983" w14:textId="77777777" w:rsidR="00766105" w:rsidRDefault="00766105" w:rsidP="00195171">
            <w:pPr>
              <w:tabs>
                <w:tab w:val="left" w:pos="720"/>
                <w:tab w:val="left" w:pos="1440"/>
                <w:tab w:val="left" w:pos="2160"/>
                <w:tab w:val="left" w:pos="2880"/>
              </w:tabs>
            </w:pPr>
            <w:r>
              <w:rPr>
                <w:b/>
                <w:bCs/>
              </w:rPr>
              <w:t>Name and contact details of author:-</w:t>
            </w:r>
          </w:p>
        </w:tc>
      </w:tr>
      <w:tr w:rsidR="00766105" w14:paraId="16890F23" w14:textId="77777777" w:rsidTr="00195171">
        <w:trPr>
          <w:trHeight w:val="285"/>
        </w:trPr>
        <w:tc>
          <w:tcPr>
            <w:tcW w:w="9664" w:type="dxa"/>
          </w:tcPr>
          <w:p w14:paraId="25D925BA" w14:textId="77777777" w:rsidR="00766105" w:rsidRDefault="00766105" w:rsidP="00EE716F">
            <w:pPr>
              <w:tabs>
                <w:tab w:val="left" w:pos="720"/>
                <w:tab w:val="left" w:pos="1440"/>
                <w:tab w:val="left" w:pos="2160"/>
                <w:tab w:val="left" w:pos="2880"/>
              </w:tabs>
            </w:pPr>
            <w:r>
              <w:t xml:space="preserve">Name:  </w:t>
            </w:r>
            <w:r w:rsidR="00EE716F">
              <w:t>Bill Lewis</w:t>
            </w:r>
          </w:p>
        </w:tc>
      </w:tr>
      <w:tr w:rsidR="00766105" w14:paraId="310ECE1D" w14:textId="77777777" w:rsidTr="00195171">
        <w:trPr>
          <w:trHeight w:val="270"/>
        </w:trPr>
        <w:tc>
          <w:tcPr>
            <w:tcW w:w="9664" w:type="dxa"/>
          </w:tcPr>
          <w:p w14:paraId="23167EE5" w14:textId="77777777" w:rsidR="00766105" w:rsidRDefault="00766105" w:rsidP="00EE716F">
            <w:pPr>
              <w:tabs>
                <w:tab w:val="left" w:pos="720"/>
                <w:tab w:val="left" w:pos="1440"/>
                <w:tab w:val="left" w:pos="2160"/>
                <w:tab w:val="left" w:pos="2880"/>
              </w:tabs>
            </w:pPr>
            <w:r>
              <w:lastRenderedPageBreak/>
              <w:t>Job title:  Financ</w:t>
            </w:r>
            <w:r w:rsidR="00B3340C">
              <w:t xml:space="preserve">ial </w:t>
            </w:r>
            <w:r w:rsidR="00EE716F">
              <w:t>Accounting Manager</w:t>
            </w:r>
          </w:p>
        </w:tc>
      </w:tr>
      <w:tr w:rsidR="00766105" w14:paraId="234DF31C" w14:textId="77777777" w:rsidTr="00195171">
        <w:trPr>
          <w:trHeight w:val="270"/>
        </w:trPr>
        <w:tc>
          <w:tcPr>
            <w:tcW w:w="9664" w:type="dxa"/>
          </w:tcPr>
          <w:p w14:paraId="20060DD9" w14:textId="77777777" w:rsidR="00766105" w:rsidRDefault="00766105" w:rsidP="00B3340C">
            <w:pPr>
              <w:tabs>
                <w:tab w:val="left" w:pos="720"/>
                <w:tab w:val="left" w:pos="1440"/>
                <w:tab w:val="left" w:pos="2160"/>
                <w:tab w:val="left" w:pos="2880"/>
              </w:tabs>
            </w:pPr>
            <w:r>
              <w:t>Service Area / Department:  Financ</w:t>
            </w:r>
            <w:r w:rsidR="00B3340C">
              <w:t>ial Services</w:t>
            </w:r>
            <w:r>
              <w:t xml:space="preserve">, </w:t>
            </w:r>
          </w:p>
        </w:tc>
      </w:tr>
      <w:tr w:rsidR="00766105" w:rsidRPr="00B7705C" w14:paraId="04B94448" w14:textId="77777777" w:rsidTr="00195171">
        <w:trPr>
          <w:trHeight w:val="570"/>
        </w:trPr>
        <w:tc>
          <w:tcPr>
            <w:tcW w:w="9664" w:type="dxa"/>
          </w:tcPr>
          <w:p w14:paraId="00743245" w14:textId="77777777" w:rsidR="00766105" w:rsidRPr="00B7705C" w:rsidRDefault="00766105" w:rsidP="00EE716F">
            <w:pPr>
              <w:tabs>
                <w:tab w:val="left" w:pos="720"/>
                <w:tab w:val="left" w:pos="1440"/>
                <w:tab w:val="left" w:pos="2160"/>
                <w:tab w:val="left" w:pos="2880"/>
              </w:tabs>
              <w:rPr>
                <w:color w:val="0000FF"/>
                <w:u w:val="single"/>
                <w:lang w:val="de-DE"/>
              </w:rPr>
            </w:pPr>
            <w:r w:rsidRPr="00B7705C">
              <w:rPr>
                <w:lang w:val="de-DE"/>
              </w:rPr>
              <w:t xml:space="preserve">Tel:  01865 </w:t>
            </w:r>
            <w:r w:rsidR="00EE716F" w:rsidRPr="00B7705C">
              <w:rPr>
                <w:lang w:val="de-DE"/>
              </w:rPr>
              <w:t>252</w:t>
            </w:r>
            <w:r w:rsidR="00EE716F">
              <w:rPr>
                <w:lang w:val="de-DE"/>
              </w:rPr>
              <w:t>607</w:t>
            </w:r>
            <w:r w:rsidR="00EE716F" w:rsidRPr="00B7705C">
              <w:rPr>
                <w:lang w:val="de-DE"/>
              </w:rPr>
              <w:t xml:space="preserve">  </w:t>
            </w:r>
            <w:r w:rsidRPr="00B7705C">
              <w:rPr>
                <w:lang w:val="de-DE"/>
              </w:rPr>
              <w:t xml:space="preserve">e-mail:  </w:t>
            </w:r>
            <w:hyperlink r:id="rId10" w:history="1">
              <w:r w:rsidR="00EE716F">
                <w:rPr>
                  <w:rStyle w:val="Hyperlink"/>
                  <w:lang w:val="de-DE"/>
                </w:rPr>
                <w:t>blewis@oxford.gov.uk</w:t>
              </w:r>
            </w:hyperlink>
          </w:p>
        </w:tc>
      </w:tr>
    </w:tbl>
    <w:p w14:paraId="2781558C" w14:textId="77777777" w:rsidR="00840506" w:rsidRDefault="00840506" w:rsidP="00547E28">
      <w:pPr>
        <w:ind w:right="43"/>
      </w:pPr>
    </w:p>
    <w:p w14:paraId="1947E33F" w14:textId="77777777" w:rsidR="00840506" w:rsidRDefault="00840506" w:rsidP="00547E28">
      <w:pPr>
        <w:ind w:right="43"/>
        <w:rPr>
          <w:b/>
          <w:bCs/>
        </w:rPr>
      </w:pPr>
      <w:r>
        <w:rPr>
          <w:b/>
          <w:bCs/>
        </w:rPr>
        <w:t xml:space="preserve">Background papers: </w:t>
      </w:r>
      <w:r w:rsidR="00766105">
        <w:rPr>
          <w:b/>
          <w:bCs/>
        </w:rPr>
        <w:t>None</w:t>
      </w:r>
    </w:p>
    <w:p w14:paraId="75E5A8FF" w14:textId="77777777" w:rsidR="00840506" w:rsidRDefault="00840506" w:rsidP="00547E28">
      <w:pPr>
        <w:ind w:right="43"/>
        <w:rPr>
          <w:b/>
          <w:bCs/>
        </w:rPr>
      </w:pPr>
    </w:p>
    <w:p w14:paraId="069138EC" w14:textId="77777777" w:rsidR="00840506" w:rsidRDefault="00840506" w:rsidP="00547E28">
      <w:pPr>
        <w:ind w:right="43"/>
        <w:rPr>
          <w:b/>
          <w:bCs/>
        </w:rPr>
      </w:pPr>
      <w:r>
        <w:rPr>
          <w:b/>
          <w:bCs/>
        </w:rPr>
        <w:t>Version number:</w:t>
      </w:r>
    </w:p>
    <w:sectPr w:rsidR="00840506" w:rsidSect="00547E28">
      <w:footerReference w:type="default" r:id="rId11"/>
      <w:pgSz w:w="11906" w:h="16838"/>
      <w:pgMar w:top="1440" w:right="1416" w:bottom="1440" w:left="1800" w:header="708"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7B383" w14:textId="77777777" w:rsidR="00B65881" w:rsidRDefault="00B65881">
      <w:r>
        <w:separator/>
      </w:r>
    </w:p>
  </w:endnote>
  <w:endnote w:type="continuationSeparator" w:id="0">
    <w:p w14:paraId="1E7FA180" w14:textId="77777777" w:rsidR="00B65881" w:rsidRDefault="00B6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0F31" w14:textId="77777777" w:rsidR="00840506" w:rsidRDefault="00840506">
    <w:pPr>
      <w:rPr>
        <w:sz w:val="20"/>
      </w:rPr>
    </w:pPr>
  </w:p>
  <w:p w14:paraId="670ECAB4" w14:textId="77777777" w:rsidR="00840506" w:rsidRDefault="00840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482EF" w14:textId="77777777" w:rsidR="00B65881" w:rsidRDefault="00B65881">
      <w:r>
        <w:separator/>
      </w:r>
    </w:p>
  </w:footnote>
  <w:footnote w:type="continuationSeparator" w:id="0">
    <w:p w14:paraId="1A39A943" w14:textId="77777777" w:rsidR="00B65881" w:rsidRDefault="00B65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B94"/>
    <w:multiLevelType w:val="hybridMultilevel"/>
    <w:tmpl w:val="C72EDE2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1D27E4E"/>
    <w:multiLevelType w:val="hybridMultilevel"/>
    <w:tmpl w:val="AEB49BAA"/>
    <w:lvl w:ilvl="0" w:tplc="38C07FEA">
      <w:start w:val="7"/>
      <w:numFmt w:val="decimal"/>
      <w:lvlText w:val="%1"/>
      <w:lvlJc w:val="left"/>
      <w:pPr>
        <w:ind w:left="-207" w:hanging="360"/>
      </w:pPr>
      <w:rPr>
        <w:rFonts w:cs="Arial" w:hint="default"/>
        <w:b w:val="0"/>
        <w:color w:val="000000"/>
        <w:u w:val="none"/>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038C30BB"/>
    <w:multiLevelType w:val="multilevel"/>
    <w:tmpl w:val="E67CE66C"/>
    <w:styleLink w:val="StyleNumberedLeft0cmHanging075cm"/>
    <w:lvl w:ilvl="0">
      <w:start w:val="1"/>
      <w:numFmt w:val="decimal"/>
      <w:lvlText w:val="%1."/>
      <w:lvlJc w:val="left"/>
      <w:pPr>
        <w:ind w:left="644"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187B77"/>
    <w:multiLevelType w:val="hybridMultilevel"/>
    <w:tmpl w:val="9C08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53FC"/>
    <w:multiLevelType w:val="hybridMultilevel"/>
    <w:tmpl w:val="68FE3FFC"/>
    <w:lvl w:ilvl="0" w:tplc="4B86A73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2D79B1"/>
    <w:multiLevelType w:val="hybridMultilevel"/>
    <w:tmpl w:val="591ABA54"/>
    <w:lvl w:ilvl="0" w:tplc="C2CC92EC">
      <w:start w:val="1"/>
      <w:numFmt w:val="decimal"/>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259F4"/>
    <w:multiLevelType w:val="hybridMultilevel"/>
    <w:tmpl w:val="61CA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57368E"/>
    <w:multiLevelType w:val="hybridMultilevel"/>
    <w:tmpl w:val="680E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57705"/>
    <w:multiLevelType w:val="hybridMultilevel"/>
    <w:tmpl w:val="1DE08A10"/>
    <w:lvl w:ilvl="0" w:tplc="0809000F">
      <w:start w:val="1"/>
      <w:numFmt w:val="decimal"/>
      <w:lvlText w:val="%1."/>
      <w:lvlJc w:val="left"/>
      <w:pPr>
        <w:ind w:left="360" w:hanging="360"/>
      </w:pPr>
      <w:rPr>
        <w:rFonts w:hint="default"/>
      </w:rPr>
    </w:lvl>
    <w:lvl w:ilvl="1" w:tplc="D8D03F9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D453AD"/>
    <w:multiLevelType w:val="hybridMultilevel"/>
    <w:tmpl w:val="BFC6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A3D7B"/>
    <w:multiLevelType w:val="hybridMultilevel"/>
    <w:tmpl w:val="4862611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F62FA"/>
    <w:multiLevelType w:val="hybridMultilevel"/>
    <w:tmpl w:val="B094898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251541BB"/>
    <w:multiLevelType w:val="hybridMultilevel"/>
    <w:tmpl w:val="3926E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FC4FFC"/>
    <w:multiLevelType w:val="hybridMultilevel"/>
    <w:tmpl w:val="7B38B052"/>
    <w:lvl w:ilvl="0" w:tplc="744CFF6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E6243"/>
    <w:multiLevelType w:val="hybridMultilevel"/>
    <w:tmpl w:val="4D9486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CB7D3F"/>
    <w:multiLevelType w:val="hybridMultilevel"/>
    <w:tmpl w:val="47144C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ECF5A29"/>
    <w:multiLevelType w:val="hybridMultilevel"/>
    <w:tmpl w:val="E8803B5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8FE77A8"/>
    <w:multiLevelType w:val="hybridMultilevel"/>
    <w:tmpl w:val="2D4ABDC8"/>
    <w:lvl w:ilvl="0" w:tplc="44862956">
      <w:start w:val="1"/>
      <w:numFmt w:val="bullet"/>
      <w:lvlText w:val=""/>
      <w:lvlJc w:val="left"/>
      <w:pPr>
        <w:ind w:left="1080" w:hanging="360"/>
      </w:pPr>
      <w:rPr>
        <w:rFonts w:ascii="Symbol" w:eastAsia="Times New Roman" w:hAnsi="Symbol"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7237D1"/>
    <w:multiLevelType w:val="hybridMultilevel"/>
    <w:tmpl w:val="FE9063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AE7C65"/>
    <w:multiLevelType w:val="hybridMultilevel"/>
    <w:tmpl w:val="D07C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46AB9"/>
    <w:multiLevelType w:val="hybridMultilevel"/>
    <w:tmpl w:val="D468443A"/>
    <w:lvl w:ilvl="0" w:tplc="0809000F">
      <w:start w:val="1"/>
      <w:numFmt w:val="decimal"/>
      <w:lvlText w:val="%1."/>
      <w:lvlJc w:val="left"/>
      <w:pPr>
        <w:ind w:left="360" w:hanging="360"/>
      </w:pPr>
      <w:rPr>
        <w:rFonts w:hint="default"/>
      </w:rPr>
    </w:lvl>
    <w:lvl w:ilvl="1" w:tplc="D8D03F9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BC302C5"/>
    <w:multiLevelType w:val="hybridMultilevel"/>
    <w:tmpl w:val="A1246028"/>
    <w:lvl w:ilvl="0" w:tplc="C7082A22">
      <w:start w:val="1"/>
      <w:numFmt w:val="bullet"/>
      <w:lvlText w:val=""/>
      <w:lvlJc w:val="left"/>
      <w:pPr>
        <w:ind w:left="926" w:hanging="360"/>
      </w:pPr>
      <w:rPr>
        <w:rFonts w:ascii="Symbol" w:eastAsia="Times New Roman" w:hAnsi="Symbol" w:cs="Times New Roman"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2" w15:restartNumberingAfterBreak="0">
    <w:nsid w:val="5C5A3D57"/>
    <w:multiLevelType w:val="hybridMultilevel"/>
    <w:tmpl w:val="C8F61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E21961"/>
    <w:multiLevelType w:val="hybridMultilevel"/>
    <w:tmpl w:val="A8E4D8D2"/>
    <w:lvl w:ilvl="0" w:tplc="08090019">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625D44DC"/>
    <w:multiLevelType w:val="multilevel"/>
    <w:tmpl w:val="F170141E"/>
    <w:lvl w:ilvl="0">
      <w:start w:val="1"/>
      <w:numFmt w:val="bullet"/>
      <w:lvlText w:val=""/>
      <w:lvlJc w:val="left"/>
      <w:pPr>
        <w:ind w:left="1286" w:hanging="360"/>
      </w:pPr>
      <w:rPr>
        <w:rFonts w:ascii="Symbol" w:hAnsi="Symbol" w:hint="default"/>
        <w:color w:val="000000"/>
        <w:sz w:val="24"/>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25" w15:restartNumberingAfterBreak="0">
    <w:nsid w:val="63B272D4"/>
    <w:multiLevelType w:val="hybridMultilevel"/>
    <w:tmpl w:val="130A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703E7"/>
    <w:multiLevelType w:val="hybridMultilevel"/>
    <w:tmpl w:val="C41A9E1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A70AA0"/>
    <w:multiLevelType w:val="hybridMultilevel"/>
    <w:tmpl w:val="A1142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98365C6"/>
    <w:multiLevelType w:val="multilevel"/>
    <w:tmpl w:val="E67CE66C"/>
    <w:lvl w:ilvl="0">
      <w:start w:val="1"/>
      <w:numFmt w:val="decimal"/>
      <w:lvlText w:val="%1."/>
      <w:lvlJc w:val="left"/>
      <w:pPr>
        <w:ind w:left="644"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BDB51BD"/>
    <w:multiLevelType w:val="hybridMultilevel"/>
    <w:tmpl w:val="1376E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C42F4"/>
    <w:multiLevelType w:val="hybridMultilevel"/>
    <w:tmpl w:val="6FFEFB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FB76AA9"/>
    <w:multiLevelType w:val="hybridMultilevel"/>
    <w:tmpl w:val="5604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564689">
    <w:abstractNumId w:val="19"/>
  </w:num>
  <w:num w:numId="2" w16cid:durableId="809395607">
    <w:abstractNumId w:val="17"/>
  </w:num>
  <w:num w:numId="3" w16cid:durableId="1349218914">
    <w:abstractNumId w:val="21"/>
  </w:num>
  <w:num w:numId="4" w16cid:durableId="1433547348">
    <w:abstractNumId w:val="6"/>
  </w:num>
  <w:num w:numId="5" w16cid:durableId="605357232">
    <w:abstractNumId w:val="3"/>
  </w:num>
  <w:num w:numId="6" w16cid:durableId="2002465681">
    <w:abstractNumId w:val="31"/>
  </w:num>
  <w:num w:numId="7" w16cid:durableId="1636713284">
    <w:abstractNumId w:val="5"/>
  </w:num>
  <w:num w:numId="8" w16cid:durableId="1629556080">
    <w:abstractNumId w:val="26"/>
  </w:num>
  <w:num w:numId="9" w16cid:durableId="1272470762">
    <w:abstractNumId w:val="30"/>
  </w:num>
  <w:num w:numId="10" w16cid:durableId="136915855">
    <w:abstractNumId w:val="2"/>
  </w:num>
  <w:num w:numId="11" w16cid:durableId="666058975">
    <w:abstractNumId w:val="24"/>
  </w:num>
  <w:num w:numId="12" w16cid:durableId="1229459395">
    <w:abstractNumId w:val="4"/>
  </w:num>
  <w:num w:numId="13" w16cid:durableId="1100570412">
    <w:abstractNumId w:val="13"/>
  </w:num>
  <w:num w:numId="14" w16cid:durableId="1483692231">
    <w:abstractNumId w:val="1"/>
  </w:num>
  <w:num w:numId="15" w16cid:durableId="788667624">
    <w:abstractNumId w:val="29"/>
  </w:num>
  <w:num w:numId="16" w16cid:durableId="1984968360">
    <w:abstractNumId w:val="7"/>
  </w:num>
  <w:num w:numId="17" w16cid:durableId="1069619020">
    <w:abstractNumId w:val="9"/>
  </w:num>
  <w:num w:numId="18" w16cid:durableId="1910724418">
    <w:abstractNumId w:val="25"/>
  </w:num>
  <w:num w:numId="19" w16cid:durableId="509028099">
    <w:abstractNumId w:val="18"/>
  </w:num>
  <w:num w:numId="20" w16cid:durableId="1112944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04646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0371459">
    <w:abstractNumId w:val="8"/>
  </w:num>
  <w:num w:numId="23" w16cid:durableId="1892375226">
    <w:abstractNumId w:val="10"/>
  </w:num>
  <w:num w:numId="24" w16cid:durableId="589891803">
    <w:abstractNumId w:val="12"/>
  </w:num>
  <w:num w:numId="25" w16cid:durableId="1345129071">
    <w:abstractNumId w:val="14"/>
  </w:num>
  <w:num w:numId="26" w16cid:durableId="128982839">
    <w:abstractNumId w:val="23"/>
  </w:num>
  <w:num w:numId="27" w16cid:durableId="1452045674">
    <w:abstractNumId w:val="15"/>
  </w:num>
  <w:num w:numId="28" w16cid:durableId="983776403">
    <w:abstractNumId w:val="20"/>
  </w:num>
  <w:num w:numId="29" w16cid:durableId="1835802743">
    <w:abstractNumId w:val="22"/>
  </w:num>
  <w:num w:numId="30" w16cid:durableId="945693215">
    <w:abstractNumId w:val="27"/>
  </w:num>
  <w:num w:numId="31" w16cid:durableId="474495220">
    <w:abstractNumId w:val="16"/>
  </w:num>
  <w:num w:numId="32" w16cid:durableId="1967655487">
    <w:abstractNumId w:val="0"/>
  </w:num>
  <w:num w:numId="33" w16cid:durableId="454641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04"/>
    <w:rsid w:val="00003E37"/>
    <w:rsid w:val="00010CB7"/>
    <w:rsid w:val="00011126"/>
    <w:rsid w:val="00012F12"/>
    <w:rsid w:val="000250B4"/>
    <w:rsid w:val="0003557F"/>
    <w:rsid w:val="00080EE4"/>
    <w:rsid w:val="000908C5"/>
    <w:rsid w:val="000A75F8"/>
    <w:rsid w:val="000B3769"/>
    <w:rsid w:val="000B503C"/>
    <w:rsid w:val="000B7741"/>
    <w:rsid w:val="000C1C4A"/>
    <w:rsid w:val="000C47AE"/>
    <w:rsid w:val="000C5E7A"/>
    <w:rsid w:val="000C7804"/>
    <w:rsid w:val="000D130C"/>
    <w:rsid w:val="000F677D"/>
    <w:rsid w:val="000F778C"/>
    <w:rsid w:val="00113E5A"/>
    <w:rsid w:val="00114F4C"/>
    <w:rsid w:val="00146F94"/>
    <w:rsid w:val="00147D12"/>
    <w:rsid w:val="00151FAF"/>
    <w:rsid w:val="001533CC"/>
    <w:rsid w:val="0016359E"/>
    <w:rsid w:val="001713E2"/>
    <w:rsid w:val="0017425D"/>
    <w:rsid w:val="00195171"/>
    <w:rsid w:val="00195539"/>
    <w:rsid w:val="001B6734"/>
    <w:rsid w:val="001B6BF2"/>
    <w:rsid w:val="001C106F"/>
    <w:rsid w:val="001D4AC5"/>
    <w:rsid w:val="001E5126"/>
    <w:rsid w:val="001F3014"/>
    <w:rsid w:val="001F4093"/>
    <w:rsid w:val="002161FE"/>
    <w:rsid w:val="00221E0B"/>
    <w:rsid w:val="00224CB5"/>
    <w:rsid w:val="00232F07"/>
    <w:rsid w:val="002365D7"/>
    <w:rsid w:val="0024184C"/>
    <w:rsid w:val="00247667"/>
    <w:rsid w:val="00253E63"/>
    <w:rsid w:val="0026136A"/>
    <w:rsid w:val="00274FD7"/>
    <w:rsid w:val="00283440"/>
    <w:rsid w:val="0028507C"/>
    <w:rsid w:val="00287106"/>
    <w:rsid w:val="00287844"/>
    <w:rsid w:val="002B0F02"/>
    <w:rsid w:val="002B42F4"/>
    <w:rsid w:val="002D3151"/>
    <w:rsid w:val="002D6242"/>
    <w:rsid w:val="002E2B51"/>
    <w:rsid w:val="002F0832"/>
    <w:rsid w:val="003333C5"/>
    <w:rsid w:val="0034145C"/>
    <w:rsid w:val="00347A14"/>
    <w:rsid w:val="00356E7D"/>
    <w:rsid w:val="0036191E"/>
    <w:rsid w:val="003665D7"/>
    <w:rsid w:val="00370087"/>
    <w:rsid w:val="00397536"/>
    <w:rsid w:val="003B33C6"/>
    <w:rsid w:val="003B3DB6"/>
    <w:rsid w:val="0041206B"/>
    <w:rsid w:val="004156E9"/>
    <w:rsid w:val="00424BBF"/>
    <w:rsid w:val="00430524"/>
    <w:rsid w:val="0043384C"/>
    <w:rsid w:val="00461768"/>
    <w:rsid w:val="00490349"/>
    <w:rsid w:val="0049232A"/>
    <w:rsid w:val="004A7887"/>
    <w:rsid w:val="004B0C17"/>
    <w:rsid w:val="004B3176"/>
    <w:rsid w:val="004B7F0D"/>
    <w:rsid w:val="004C5734"/>
    <w:rsid w:val="004C75CE"/>
    <w:rsid w:val="004D2A4F"/>
    <w:rsid w:val="004E55D3"/>
    <w:rsid w:val="004F47DE"/>
    <w:rsid w:val="004F5BDB"/>
    <w:rsid w:val="004F660F"/>
    <w:rsid w:val="004F788C"/>
    <w:rsid w:val="00510F8C"/>
    <w:rsid w:val="0051361E"/>
    <w:rsid w:val="00515E27"/>
    <w:rsid w:val="0052283B"/>
    <w:rsid w:val="005229AA"/>
    <w:rsid w:val="00531D49"/>
    <w:rsid w:val="00547E28"/>
    <w:rsid w:val="00551F80"/>
    <w:rsid w:val="00555768"/>
    <w:rsid w:val="00562B05"/>
    <w:rsid w:val="005713C5"/>
    <w:rsid w:val="00577A67"/>
    <w:rsid w:val="00577DA8"/>
    <w:rsid w:val="0058051A"/>
    <w:rsid w:val="00591FFF"/>
    <w:rsid w:val="005A0252"/>
    <w:rsid w:val="005A7827"/>
    <w:rsid w:val="005B10CD"/>
    <w:rsid w:val="005B79F2"/>
    <w:rsid w:val="005C2AE5"/>
    <w:rsid w:val="005C2E58"/>
    <w:rsid w:val="005C3EF6"/>
    <w:rsid w:val="005C52AE"/>
    <w:rsid w:val="005F006A"/>
    <w:rsid w:val="005F18F5"/>
    <w:rsid w:val="005F71DD"/>
    <w:rsid w:val="00600C50"/>
    <w:rsid w:val="00601FFA"/>
    <w:rsid w:val="00606569"/>
    <w:rsid w:val="006203A2"/>
    <w:rsid w:val="00622C0E"/>
    <w:rsid w:val="00625E90"/>
    <w:rsid w:val="006277D2"/>
    <w:rsid w:val="006524F5"/>
    <w:rsid w:val="00657174"/>
    <w:rsid w:val="00660B11"/>
    <w:rsid w:val="00661440"/>
    <w:rsid w:val="00662F16"/>
    <w:rsid w:val="006729BC"/>
    <w:rsid w:val="006819BE"/>
    <w:rsid w:val="006A5C71"/>
    <w:rsid w:val="006B5122"/>
    <w:rsid w:val="006B55B2"/>
    <w:rsid w:val="006B70D8"/>
    <w:rsid w:val="006C2498"/>
    <w:rsid w:val="006C4072"/>
    <w:rsid w:val="006F60B3"/>
    <w:rsid w:val="007078AF"/>
    <w:rsid w:val="007108C1"/>
    <w:rsid w:val="007115AA"/>
    <w:rsid w:val="00713B88"/>
    <w:rsid w:val="00714BE1"/>
    <w:rsid w:val="007212CF"/>
    <w:rsid w:val="00723DD9"/>
    <w:rsid w:val="0073686B"/>
    <w:rsid w:val="0074235B"/>
    <w:rsid w:val="00754009"/>
    <w:rsid w:val="00766105"/>
    <w:rsid w:val="00766D93"/>
    <w:rsid w:val="007712EE"/>
    <w:rsid w:val="00773F30"/>
    <w:rsid w:val="00784E1C"/>
    <w:rsid w:val="007947E3"/>
    <w:rsid w:val="007B52E2"/>
    <w:rsid w:val="007B56BF"/>
    <w:rsid w:val="007B5D59"/>
    <w:rsid w:val="007E1F79"/>
    <w:rsid w:val="007E37A4"/>
    <w:rsid w:val="007F6E48"/>
    <w:rsid w:val="00802776"/>
    <w:rsid w:val="00811784"/>
    <w:rsid w:val="00820341"/>
    <w:rsid w:val="008219EE"/>
    <w:rsid w:val="008261FD"/>
    <w:rsid w:val="00840506"/>
    <w:rsid w:val="008443D8"/>
    <w:rsid w:val="00844CE7"/>
    <w:rsid w:val="00847B61"/>
    <w:rsid w:val="00852A3F"/>
    <w:rsid w:val="0087093E"/>
    <w:rsid w:val="0088692D"/>
    <w:rsid w:val="00887C41"/>
    <w:rsid w:val="008917FE"/>
    <w:rsid w:val="00892763"/>
    <w:rsid w:val="008A255D"/>
    <w:rsid w:val="008B524F"/>
    <w:rsid w:val="008B5623"/>
    <w:rsid w:val="008B749B"/>
    <w:rsid w:val="008B75C4"/>
    <w:rsid w:val="008C1B38"/>
    <w:rsid w:val="008D7861"/>
    <w:rsid w:val="008F6BDD"/>
    <w:rsid w:val="00906CAA"/>
    <w:rsid w:val="00925DD2"/>
    <w:rsid w:val="009433C8"/>
    <w:rsid w:val="00952D90"/>
    <w:rsid w:val="0096032D"/>
    <w:rsid w:val="00961F54"/>
    <w:rsid w:val="00963732"/>
    <w:rsid w:val="00971D87"/>
    <w:rsid w:val="00980FB3"/>
    <w:rsid w:val="00991A3B"/>
    <w:rsid w:val="00993EA2"/>
    <w:rsid w:val="009A377A"/>
    <w:rsid w:val="009A6741"/>
    <w:rsid w:val="009C57C7"/>
    <w:rsid w:val="009C6ED7"/>
    <w:rsid w:val="009D3161"/>
    <w:rsid w:val="00A21974"/>
    <w:rsid w:val="00A30B26"/>
    <w:rsid w:val="00A3243C"/>
    <w:rsid w:val="00A35173"/>
    <w:rsid w:val="00A414C5"/>
    <w:rsid w:val="00A531CB"/>
    <w:rsid w:val="00A57DD2"/>
    <w:rsid w:val="00A8021B"/>
    <w:rsid w:val="00A81EC9"/>
    <w:rsid w:val="00A85499"/>
    <w:rsid w:val="00A926D6"/>
    <w:rsid w:val="00AC6277"/>
    <w:rsid w:val="00AF04EA"/>
    <w:rsid w:val="00AF5EEC"/>
    <w:rsid w:val="00B04270"/>
    <w:rsid w:val="00B17F2F"/>
    <w:rsid w:val="00B20F47"/>
    <w:rsid w:val="00B3290D"/>
    <w:rsid w:val="00B32C49"/>
    <w:rsid w:val="00B3340C"/>
    <w:rsid w:val="00B65881"/>
    <w:rsid w:val="00B66B8B"/>
    <w:rsid w:val="00B72136"/>
    <w:rsid w:val="00B72C71"/>
    <w:rsid w:val="00B73B72"/>
    <w:rsid w:val="00B8756D"/>
    <w:rsid w:val="00B94823"/>
    <w:rsid w:val="00BC3532"/>
    <w:rsid w:val="00BC445A"/>
    <w:rsid w:val="00BC76F9"/>
    <w:rsid w:val="00BC7DE9"/>
    <w:rsid w:val="00BE3C61"/>
    <w:rsid w:val="00BF5938"/>
    <w:rsid w:val="00C0496C"/>
    <w:rsid w:val="00C069BF"/>
    <w:rsid w:val="00C22B92"/>
    <w:rsid w:val="00C25998"/>
    <w:rsid w:val="00C55292"/>
    <w:rsid w:val="00C56616"/>
    <w:rsid w:val="00C82B3B"/>
    <w:rsid w:val="00C85CDE"/>
    <w:rsid w:val="00C940B6"/>
    <w:rsid w:val="00CB0442"/>
    <w:rsid w:val="00CC2EDB"/>
    <w:rsid w:val="00CC7363"/>
    <w:rsid w:val="00CE2DAC"/>
    <w:rsid w:val="00D023BB"/>
    <w:rsid w:val="00D048CD"/>
    <w:rsid w:val="00D0687B"/>
    <w:rsid w:val="00D2029B"/>
    <w:rsid w:val="00D36133"/>
    <w:rsid w:val="00D3786E"/>
    <w:rsid w:val="00D47023"/>
    <w:rsid w:val="00D478B2"/>
    <w:rsid w:val="00D512B9"/>
    <w:rsid w:val="00D57BF3"/>
    <w:rsid w:val="00D65F40"/>
    <w:rsid w:val="00D72EF8"/>
    <w:rsid w:val="00D75CFC"/>
    <w:rsid w:val="00D8556D"/>
    <w:rsid w:val="00D86A79"/>
    <w:rsid w:val="00D964B7"/>
    <w:rsid w:val="00DA61D1"/>
    <w:rsid w:val="00DC4421"/>
    <w:rsid w:val="00DE5328"/>
    <w:rsid w:val="00DF3727"/>
    <w:rsid w:val="00E20881"/>
    <w:rsid w:val="00E23D50"/>
    <w:rsid w:val="00E3189B"/>
    <w:rsid w:val="00E36B94"/>
    <w:rsid w:val="00E37B28"/>
    <w:rsid w:val="00E41DC7"/>
    <w:rsid w:val="00E50EC0"/>
    <w:rsid w:val="00E60879"/>
    <w:rsid w:val="00E85125"/>
    <w:rsid w:val="00E9300B"/>
    <w:rsid w:val="00E932F0"/>
    <w:rsid w:val="00E97004"/>
    <w:rsid w:val="00E97434"/>
    <w:rsid w:val="00E97C6B"/>
    <w:rsid w:val="00EA0C77"/>
    <w:rsid w:val="00EC0D23"/>
    <w:rsid w:val="00EC0E57"/>
    <w:rsid w:val="00EC1C35"/>
    <w:rsid w:val="00EC48D3"/>
    <w:rsid w:val="00EC605D"/>
    <w:rsid w:val="00ED5904"/>
    <w:rsid w:val="00EE716F"/>
    <w:rsid w:val="00EF37E9"/>
    <w:rsid w:val="00EF3DAD"/>
    <w:rsid w:val="00EF47CD"/>
    <w:rsid w:val="00F00E22"/>
    <w:rsid w:val="00F06C72"/>
    <w:rsid w:val="00F16E82"/>
    <w:rsid w:val="00F602A3"/>
    <w:rsid w:val="00F97D6A"/>
    <w:rsid w:val="00FA708C"/>
    <w:rsid w:val="00FC1F2E"/>
    <w:rsid w:val="00FC4B7E"/>
    <w:rsid w:val="00FD4982"/>
    <w:rsid w:val="00FE073E"/>
    <w:rsid w:val="00FE1F42"/>
    <w:rsid w:val="00FE7E6A"/>
    <w:rsid w:val="00FF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F02F7"/>
  <w15:docId w15:val="{05AFBF92-2FC9-4484-8987-3E6CDADC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7FE"/>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PageNumber">
    <w:name w:val="page number"/>
    <w:basedOn w:val="DefaultParagraphFont"/>
    <w:semiHidden/>
  </w:style>
  <w:style w:type="paragraph" w:styleId="ListParagraph">
    <w:name w:val="List Paragraph"/>
    <w:basedOn w:val="Normal"/>
    <w:link w:val="ListParagraphChar"/>
    <w:uiPriority w:val="34"/>
    <w:qFormat/>
    <w:rsid w:val="009A377A"/>
    <w:pPr>
      <w:ind w:left="720"/>
    </w:pPr>
  </w:style>
  <w:style w:type="character" w:styleId="Hyperlink">
    <w:name w:val="Hyperlink"/>
    <w:rsid w:val="00766105"/>
    <w:rPr>
      <w:color w:val="0000FF"/>
      <w:u w:val="single"/>
    </w:rPr>
  </w:style>
  <w:style w:type="character" w:customStyle="1" w:styleId="ListParagraphChar">
    <w:name w:val="List Paragraph Char"/>
    <w:link w:val="ListParagraph"/>
    <w:uiPriority w:val="34"/>
    <w:rsid w:val="008B5623"/>
    <w:rPr>
      <w:rFonts w:ascii="Arial" w:hAnsi="Arial"/>
      <w:sz w:val="24"/>
      <w:szCs w:val="24"/>
      <w:lang w:eastAsia="en-US"/>
    </w:rPr>
  </w:style>
  <w:style w:type="numbering" w:customStyle="1" w:styleId="StyleNumberedLeft0cmHanging075cm">
    <w:name w:val="Style Numbered Left:  0 cm Hanging:  0.75 cm"/>
    <w:basedOn w:val="NoList"/>
    <w:rsid w:val="008B5623"/>
    <w:pPr>
      <w:numPr>
        <w:numId w:val="10"/>
      </w:numPr>
    </w:pPr>
  </w:style>
  <w:style w:type="table" w:styleId="TableGrid">
    <w:name w:val="Table Grid"/>
    <w:basedOn w:val="TableNormal"/>
    <w:uiPriority w:val="59"/>
    <w:rsid w:val="00555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029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600561">
      <w:bodyDiv w:val="1"/>
      <w:marLeft w:val="0"/>
      <w:marRight w:val="0"/>
      <w:marTop w:val="0"/>
      <w:marBottom w:val="0"/>
      <w:divBdr>
        <w:top w:val="none" w:sz="0" w:space="0" w:color="auto"/>
        <w:left w:val="none" w:sz="0" w:space="0" w:color="auto"/>
        <w:bottom w:val="none" w:sz="0" w:space="0" w:color="auto"/>
        <w:right w:val="none" w:sz="0" w:space="0" w:color="auto"/>
      </w:divBdr>
    </w:div>
    <w:div w:id="1881435755">
      <w:bodyDiv w:val="1"/>
      <w:marLeft w:val="0"/>
      <w:marRight w:val="0"/>
      <w:marTop w:val="0"/>
      <w:marBottom w:val="0"/>
      <w:divBdr>
        <w:top w:val="none" w:sz="0" w:space="0" w:color="auto"/>
        <w:left w:val="none" w:sz="0" w:space="0" w:color="auto"/>
        <w:bottom w:val="none" w:sz="0" w:space="0" w:color="auto"/>
        <w:right w:val="none" w:sz="0" w:space="0" w:color="auto"/>
      </w:divBdr>
    </w:div>
    <w:div w:id="20238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kennedy@oxford.gov.uk"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1F1D-59F5-468F-9177-E2D4248B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1950</Words>
  <Characters>10196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12122</CharactersWithSpaces>
  <SharedDoc>false</SharedDoc>
  <HLinks>
    <vt:vector size="6" baseType="variant">
      <vt:variant>
        <vt:i4>3407943</vt:i4>
      </vt:variant>
      <vt:variant>
        <vt:i4>0</vt:i4>
      </vt:variant>
      <vt:variant>
        <vt:i4>0</vt:i4>
      </vt:variant>
      <vt:variant>
        <vt:i4>5</vt:i4>
      </vt:variant>
      <vt:variant>
        <vt:lpwstr>mailto:nkennedy@oxford.gov.uk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LEWIS Bill</cp:lastModifiedBy>
  <cp:revision>3</cp:revision>
  <cp:lastPrinted>2008-06-11T13:21:00Z</cp:lastPrinted>
  <dcterms:created xsi:type="dcterms:W3CDTF">2025-01-08T18:03:00Z</dcterms:created>
  <dcterms:modified xsi:type="dcterms:W3CDTF">2025-01-08T18:04:00Z</dcterms:modified>
</cp:coreProperties>
</file>